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5AF" w:rsidRPr="004909D7" w:rsidRDefault="00A655AF" w:rsidP="00586D08">
      <w:pPr>
        <w:rPr>
          <w:rFonts w:ascii="Arial" w:eastAsia="仿宋" w:hAnsi="Arial" w:cs="Arial"/>
          <w:b/>
          <w:bCs/>
          <w:sz w:val="24"/>
        </w:rPr>
      </w:pPr>
      <w:r w:rsidRPr="004909D7">
        <w:rPr>
          <w:rFonts w:ascii="Arial" w:eastAsia="仿宋" w:hAnsi="Arial" w:cs="Arial" w:hint="eastAsia"/>
          <w:b/>
          <w:bCs/>
          <w:sz w:val="24"/>
        </w:rPr>
        <w:t xml:space="preserve">Chinese Prebaked Anode Supply &amp; Demand in Xinjiang </w:t>
      </w:r>
    </w:p>
    <w:p w:rsidR="00875161" w:rsidRPr="004909D7" w:rsidRDefault="00875161" w:rsidP="00586D08">
      <w:pPr>
        <w:rPr>
          <w:rFonts w:ascii="Arial" w:hAnsi="Arial" w:cs="Arial"/>
          <w:sz w:val="24"/>
        </w:rPr>
      </w:pPr>
    </w:p>
    <w:p w:rsidR="00042643" w:rsidRPr="004909D7" w:rsidRDefault="00042643" w:rsidP="00A655AF">
      <w:pPr>
        <w:spacing w:afterLines="50"/>
        <w:rPr>
          <w:rFonts w:ascii="Arial" w:eastAsia="仿宋" w:hAnsi="Arial" w:cs="Arial"/>
          <w:sz w:val="24"/>
        </w:rPr>
      </w:pPr>
      <w:r w:rsidRPr="004909D7">
        <w:rPr>
          <w:rFonts w:ascii="Arial" w:eastAsia="仿宋" w:hAnsi="Arial" w:cs="Arial"/>
          <w:sz w:val="24"/>
        </w:rPr>
        <w:t>Distinguished guests</w:t>
      </w:r>
      <w:r w:rsidR="00330C59" w:rsidRPr="004909D7">
        <w:rPr>
          <w:rFonts w:ascii="Arial" w:eastAsia="仿宋" w:hAnsi="Arial" w:cs="Arial" w:hint="eastAsia"/>
          <w:sz w:val="24"/>
        </w:rPr>
        <w:t xml:space="preserve">: </w:t>
      </w:r>
      <w:r w:rsidRPr="004909D7">
        <w:rPr>
          <w:rFonts w:ascii="Arial" w:eastAsia="仿宋" w:hAnsi="Arial" w:cs="Arial"/>
          <w:sz w:val="24"/>
        </w:rPr>
        <w:t xml:space="preserve"> </w:t>
      </w:r>
    </w:p>
    <w:p w:rsidR="006B6441" w:rsidRPr="004909D7" w:rsidRDefault="006B6441" w:rsidP="004909D7">
      <w:pPr>
        <w:spacing w:afterLines="50"/>
        <w:ind w:firstLineChars="200" w:firstLine="480"/>
        <w:rPr>
          <w:rFonts w:ascii="Arial" w:eastAsia="仿宋" w:hAnsi="Arial" w:cs="Arial"/>
          <w:sz w:val="24"/>
        </w:rPr>
      </w:pPr>
      <w:r w:rsidRPr="004909D7">
        <w:rPr>
          <w:rFonts w:ascii="Arial" w:eastAsia="仿宋" w:hAnsi="Arial" w:cs="Arial"/>
          <w:sz w:val="24"/>
        </w:rPr>
        <w:t>Good morning! Firstly, I want to</w:t>
      </w:r>
      <w:r w:rsidR="000772BF" w:rsidRPr="004909D7">
        <w:rPr>
          <w:rFonts w:ascii="Arial" w:eastAsia="仿宋" w:hAnsi="Arial" w:cs="Arial"/>
          <w:sz w:val="24"/>
        </w:rPr>
        <w:t xml:space="preserve"> take this opportunity to </w:t>
      </w:r>
      <w:r w:rsidRPr="004909D7">
        <w:rPr>
          <w:rFonts w:ascii="Arial" w:eastAsia="仿宋" w:hAnsi="Arial" w:cs="Arial"/>
          <w:sz w:val="24"/>
        </w:rPr>
        <w:t>say thanks to Asian Metal, the organizer of the summit,</w:t>
      </w:r>
      <w:r w:rsidR="001663D8" w:rsidRPr="004909D7">
        <w:rPr>
          <w:rFonts w:ascii="Arial" w:eastAsia="仿宋" w:hAnsi="Arial" w:cs="Arial"/>
          <w:sz w:val="24"/>
        </w:rPr>
        <w:t xml:space="preserve"> </w:t>
      </w:r>
      <w:r w:rsidR="00A600D9" w:rsidRPr="004909D7">
        <w:rPr>
          <w:rFonts w:ascii="Arial" w:eastAsia="仿宋" w:hAnsi="Arial" w:cs="Arial"/>
          <w:sz w:val="24"/>
        </w:rPr>
        <w:t xml:space="preserve">for </w:t>
      </w:r>
      <w:r w:rsidR="001663D8" w:rsidRPr="004909D7">
        <w:rPr>
          <w:rFonts w:ascii="Arial" w:eastAsia="仿宋" w:hAnsi="Arial" w:cs="Arial"/>
          <w:sz w:val="24"/>
        </w:rPr>
        <w:t>allow</w:t>
      </w:r>
      <w:r w:rsidR="00D04265" w:rsidRPr="004909D7">
        <w:rPr>
          <w:rFonts w:ascii="Arial" w:eastAsia="仿宋" w:hAnsi="Arial" w:cs="Arial"/>
          <w:sz w:val="24"/>
        </w:rPr>
        <w:t>ing</w:t>
      </w:r>
      <w:r w:rsidR="001663D8" w:rsidRPr="004909D7">
        <w:rPr>
          <w:rFonts w:ascii="Arial" w:eastAsia="仿宋" w:hAnsi="Arial" w:cs="Arial"/>
          <w:sz w:val="24"/>
        </w:rPr>
        <w:t xml:space="preserve"> me to </w:t>
      </w:r>
      <w:r w:rsidR="00144969" w:rsidRPr="004909D7">
        <w:rPr>
          <w:rFonts w:ascii="Arial" w:eastAsia="仿宋" w:hAnsi="Arial" w:cs="Arial"/>
          <w:sz w:val="24"/>
        </w:rPr>
        <w:t>give the speech as a representative</w:t>
      </w:r>
      <w:r w:rsidR="00330C59" w:rsidRPr="004909D7">
        <w:rPr>
          <w:rFonts w:ascii="Arial" w:eastAsia="仿宋" w:hAnsi="Arial" w:cs="Arial" w:hint="eastAsia"/>
          <w:sz w:val="24"/>
        </w:rPr>
        <w:t>.</w:t>
      </w:r>
      <w:r w:rsidR="00D04265" w:rsidRPr="004909D7">
        <w:rPr>
          <w:rFonts w:ascii="Arial" w:eastAsia="仿宋" w:hAnsi="Arial" w:cs="Arial"/>
          <w:sz w:val="24"/>
        </w:rPr>
        <w:t xml:space="preserve"> </w:t>
      </w:r>
      <w:r w:rsidR="00330C59" w:rsidRPr="004909D7">
        <w:rPr>
          <w:rFonts w:ascii="Arial" w:eastAsia="仿宋" w:hAnsi="Arial" w:cs="Arial" w:hint="eastAsia"/>
          <w:sz w:val="24"/>
        </w:rPr>
        <w:t>Next</w:t>
      </w:r>
      <w:r w:rsidRPr="004909D7">
        <w:rPr>
          <w:rFonts w:ascii="Arial" w:eastAsia="仿宋" w:hAnsi="Arial" w:cs="Arial"/>
          <w:sz w:val="24"/>
        </w:rPr>
        <w:t xml:space="preserve"> I</w:t>
      </w:r>
      <w:r w:rsidR="00330C59" w:rsidRPr="004909D7">
        <w:rPr>
          <w:rFonts w:ascii="Arial" w:eastAsia="仿宋" w:hAnsi="Arial" w:cs="Arial" w:hint="eastAsia"/>
          <w:sz w:val="24"/>
        </w:rPr>
        <w:t xml:space="preserve"> would</w:t>
      </w:r>
      <w:r w:rsidRPr="004909D7">
        <w:rPr>
          <w:rFonts w:ascii="Arial" w:eastAsia="仿宋" w:hAnsi="Arial" w:cs="Arial"/>
          <w:sz w:val="24"/>
        </w:rPr>
        <w:t xml:space="preserve"> like to express my sincere </w:t>
      </w:r>
      <w:r w:rsidR="00D04265" w:rsidRPr="004909D7">
        <w:rPr>
          <w:rFonts w:ascii="Arial" w:eastAsia="仿宋" w:hAnsi="Arial" w:cs="Arial"/>
          <w:sz w:val="24"/>
        </w:rPr>
        <w:t xml:space="preserve">gratitude </w:t>
      </w:r>
      <w:r w:rsidRPr="004909D7">
        <w:rPr>
          <w:rFonts w:ascii="Arial" w:eastAsia="仿宋" w:hAnsi="Arial" w:cs="Arial"/>
          <w:sz w:val="24"/>
        </w:rPr>
        <w:t xml:space="preserve">to all </w:t>
      </w:r>
      <w:r w:rsidR="00A600D9" w:rsidRPr="004909D7">
        <w:rPr>
          <w:rFonts w:ascii="Arial" w:eastAsia="仿宋" w:hAnsi="Arial" w:cs="Arial"/>
          <w:sz w:val="24"/>
        </w:rPr>
        <w:t xml:space="preserve">the </w:t>
      </w:r>
      <w:r w:rsidR="00330C59" w:rsidRPr="004909D7">
        <w:rPr>
          <w:rFonts w:ascii="Arial" w:eastAsia="仿宋" w:hAnsi="Arial" w:cs="Arial" w:hint="eastAsia"/>
          <w:sz w:val="24"/>
        </w:rPr>
        <w:t>peer companies</w:t>
      </w:r>
      <w:r w:rsidRPr="004909D7">
        <w:rPr>
          <w:rFonts w:ascii="Arial" w:eastAsia="仿宋" w:hAnsi="Arial" w:cs="Arial"/>
          <w:sz w:val="24"/>
        </w:rPr>
        <w:t xml:space="preserve"> and guests</w:t>
      </w:r>
      <w:r w:rsidR="00A600D9" w:rsidRPr="004909D7">
        <w:rPr>
          <w:rFonts w:ascii="Arial" w:eastAsia="仿宋" w:hAnsi="Arial" w:cs="Arial"/>
          <w:sz w:val="24"/>
        </w:rPr>
        <w:t xml:space="preserve"> here</w:t>
      </w:r>
      <w:r w:rsidRPr="004909D7">
        <w:rPr>
          <w:rFonts w:ascii="Arial" w:eastAsia="仿宋" w:hAnsi="Arial" w:cs="Arial"/>
          <w:sz w:val="24"/>
        </w:rPr>
        <w:t xml:space="preserve">. My speech </w:t>
      </w:r>
      <w:r w:rsidR="00330C59" w:rsidRPr="004909D7">
        <w:rPr>
          <w:rFonts w:ascii="Arial" w:eastAsia="仿宋" w:hAnsi="Arial" w:cs="Arial" w:hint="eastAsia"/>
          <w:sz w:val="24"/>
        </w:rPr>
        <w:t xml:space="preserve">today </w:t>
      </w:r>
      <w:r w:rsidRPr="004909D7">
        <w:rPr>
          <w:rFonts w:ascii="Arial" w:eastAsia="仿宋" w:hAnsi="Arial" w:cs="Arial"/>
          <w:sz w:val="24"/>
        </w:rPr>
        <w:t xml:space="preserve">is about the demand and supply of anode for aluminum in Xinjiang. </w:t>
      </w:r>
    </w:p>
    <w:p w:rsidR="000A2752" w:rsidRPr="004909D7" w:rsidRDefault="000772BF" w:rsidP="004909D7">
      <w:pPr>
        <w:spacing w:afterLines="50"/>
        <w:ind w:firstLineChars="200" w:firstLine="480"/>
        <w:rPr>
          <w:rFonts w:ascii="Arial" w:eastAsia="仿宋" w:hAnsi="Arial" w:cs="Arial"/>
          <w:sz w:val="24"/>
        </w:rPr>
      </w:pPr>
      <w:r w:rsidRPr="004909D7">
        <w:rPr>
          <w:rFonts w:ascii="Arial" w:eastAsia="仿宋" w:hAnsi="Arial" w:cs="Arial"/>
          <w:sz w:val="24"/>
        </w:rPr>
        <w:t>Prebaked anode in Xinjiang is mainly supplied to local primary aluminum companies and the current primary aluminum capacity in Xinjiang is about 7.67 million tons.</w:t>
      </w:r>
    </w:p>
    <w:p w:rsidR="007C0167" w:rsidRPr="004909D7" w:rsidRDefault="00330C59" w:rsidP="009B4FD6">
      <w:pPr>
        <w:jc w:val="center"/>
        <w:rPr>
          <w:rFonts w:ascii="Arial" w:eastAsia="仿宋" w:hAnsi="Arial" w:cs="Arial"/>
          <w:sz w:val="24"/>
        </w:rPr>
      </w:pPr>
      <w:r w:rsidRPr="004909D7">
        <w:rPr>
          <w:rFonts w:ascii="Arial" w:eastAsia="仿宋" w:hAnsi="Arial" w:cs="Arial"/>
          <w:noProof/>
          <w:sz w:val="24"/>
        </w:rPr>
        <w:drawing>
          <wp:inline distT="0" distB="0" distL="0" distR="0">
            <wp:extent cx="5430210" cy="3583172"/>
            <wp:effectExtent l="19050" t="0" r="1809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75161" w:rsidRPr="004909D7" w:rsidRDefault="00D73BE1" w:rsidP="004909D7">
      <w:pPr>
        <w:spacing w:afterLines="50"/>
        <w:ind w:firstLineChars="200" w:firstLine="480"/>
        <w:rPr>
          <w:rFonts w:ascii="Arial" w:eastAsia="仿宋" w:hAnsi="Arial" w:cs="Arial"/>
          <w:sz w:val="24"/>
        </w:rPr>
      </w:pPr>
      <w:r w:rsidRPr="004909D7">
        <w:rPr>
          <w:rFonts w:ascii="Arial" w:eastAsia="仿宋" w:hAnsi="Arial" w:cs="Arial"/>
          <w:sz w:val="24"/>
        </w:rPr>
        <w:t>The actual primary aluminum output in 2018 was about 6.77 million tons</w:t>
      </w:r>
      <w:r w:rsidR="00951649" w:rsidRPr="004909D7">
        <w:rPr>
          <w:rFonts w:ascii="Arial" w:eastAsia="仿宋" w:hAnsi="Arial" w:cs="Arial"/>
          <w:sz w:val="24"/>
        </w:rPr>
        <w:t xml:space="preserve"> restricted by national policy and power shortage</w:t>
      </w:r>
      <w:r w:rsidR="00A600D9" w:rsidRPr="004909D7">
        <w:rPr>
          <w:rFonts w:ascii="Arial" w:eastAsia="仿宋" w:hAnsi="Arial" w:cs="Arial"/>
          <w:sz w:val="24"/>
        </w:rPr>
        <w:t>,</w:t>
      </w:r>
      <w:r w:rsidR="00951649" w:rsidRPr="004909D7">
        <w:rPr>
          <w:rFonts w:ascii="Arial" w:eastAsia="仿宋" w:hAnsi="Arial" w:cs="Arial"/>
          <w:sz w:val="24"/>
        </w:rPr>
        <w:t xml:space="preserve"> with the </w:t>
      </w:r>
      <w:r w:rsidR="00A600D9" w:rsidRPr="004909D7">
        <w:rPr>
          <w:rFonts w:ascii="Arial" w:eastAsia="仿宋" w:hAnsi="Arial" w:cs="Arial"/>
          <w:sz w:val="24"/>
        </w:rPr>
        <w:t xml:space="preserve">annual </w:t>
      </w:r>
      <w:r w:rsidR="00951649" w:rsidRPr="004909D7">
        <w:rPr>
          <w:rFonts w:ascii="Arial" w:eastAsia="仿宋" w:hAnsi="Arial" w:cs="Arial"/>
          <w:sz w:val="24"/>
        </w:rPr>
        <w:t>consumption for anode being about 3.25 million tons.</w:t>
      </w:r>
    </w:p>
    <w:p w:rsidR="001D7C0D" w:rsidRPr="004909D7" w:rsidRDefault="007C0167" w:rsidP="00A655AF">
      <w:pPr>
        <w:spacing w:afterLines="50"/>
        <w:jc w:val="center"/>
        <w:rPr>
          <w:rFonts w:ascii="Arial" w:eastAsia="仿宋" w:hAnsi="Arial" w:cs="Arial"/>
          <w:color w:val="000000"/>
          <w:sz w:val="24"/>
        </w:rPr>
      </w:pPr>
      <w:r w:rsidRPr="004909D7">
        <w:rPr>
          <w:rFonts w:ascii="Arial" w:eastAsia="仿宋" w:hAnsi="Arial" w:cs="Arial"/>
          <w:noProof/>
          <w:color w:val="000000"/>
          <w:sz w:val="24"/>
        </w:rPr>
        <w:lastRenderedPageBreak/>
        <w:drawing>
          <wp:inline distT="0" distB="0" distL="0" distR="0">
            <wp:extent cx="5705475" cy="3771900"/>
            <wp:effectExtent l="19050" t="0" r="9525" b="0"/>
            <wp:docPr id="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86D08" w:rsidRPr="004909D7" w:rsidRDefault="00586D08" w:rsidP="004909D7">
      <w:pPr>
        <w:spacing w:afterLines="50"/>
        <w:ind w:firstLineChars="200" w:firstLine="480"/>
        <w:rPr>
          <w:rFonts w:ascii="Arial" w:eastAsia="仿宋" w:hAnsi="Arial" w:cs="Arial"/>
          <w:sz w:val="24"/>
        </w:rPr>
      </w:pPr>
    </w:p>
    <w:p w:rsidR="008A355E" w:rsidRPr="004909D7" w:rsidRDefault="001261C1" w:rsidP="004909D7">
      <w:pPr>
        <w:spacing w:afterLines="50"/>
        <w:ind w:firstLineChars="200" w:firstLine="480"/>
        <w:rPr>
          <w:rFonts w:ascii="Arial" w:eastAsia="仿宋" w:hAnsi="Arial" w:cs="Arial"/>
          <w:sz w:val="24"/>
        </w:rPr>
      </w:pPr>
      <w:r w:rsidRPr="004909D7">
        <w:rPr>
          <w:rFonts w:ascii="Arial" w:eastAsia="仿宋" w:hAnsi="Arial" w:cs="Arial"/>
          <w:sz w:val="24"/>
        </w:rPr>
        <w:t xml:space="preserve">Primary aluminum plants in Xinjiang, except for </w:t>
      </w:r>
      <w:proofErr w:type="spellStart"/>
      <w:r w:rsidRPr="004909D7">
        <w:rPr>
          <w:rFonts w:ascii="Arial" w:eastAsia="仿宋" w:hAnsi="Arial" w:cs="Arial"/>
          <w:sz w:val="24"/>
        </w:rPr>
        <w:t>Jiarun</w:t>
      </w:r>
      <w:proofErr w:type="spellEnd"/>
      <w:r w:rsidRPr="004909D7">
        <w:rPr>
          <w:rFonts w:ascii="Arial" w:eastAsia="仿宋" w:hAnsi="Arial" w:cs="Arial"/>
          <w:sz w:val="24"/>
        </w:rPr>
        <w:t xml:space="preserve"> Resource, are all equipped with prebaked anode capacity and the self-sufficiency rate exceeds 85%. </w:t>
      </w:r>
      <w:r w:rsidR="008A355E" w:rsidRPr="004909D7">
        <w:rPr>
          <w:rFonts w:ascii="Arial" w:eastAsia="仿宋" w:hAnsi="Arial" w:cs="Arial"/>
          <w:sz w:val="24"/>
        </w:rPr>
        <w:t xml:space="preserve">Specifically, East hope, </w:t>
      </w:r>
      <w:proofErr w:type="spellStart"/>
      <w:r w:rsidR="008A355E" w:rsidRPr="004909D7">
        <w:rPr>
          <w:rFonts w:ascii="Arial" w:eastAsia="仿宋" w:hAnsi="Arial" w:cs="Arial"/>
          <w:sz w:val="24"/>
        </w:rPr>
        <w:t>Nongliushi</w:t>
      </w:r>
      <w:proofErr w:type="spellEnd"/>
      <w:r w:rsidR="008A355E" w:rsidRPr="004909D7">
        <w:rPr>
          <w:rFonts w:ascii="Arial" w:eastAsia="仿宋" w:hAnsi="Arial" w:cs="Arial"/>
          <w:sz w:val="24"/>
        </w:rPr>
        <w:t xml:space="preserve"> Coal Power, </w:t>
      </w:r>
      <w:proofErr w:type="spellStart"/>
      <w:r w:rsidR="008A355E" w:rsidRPr="004909D7">
        <w:rPr>
          <w:rFonts w:ascii="Arial" w:eastAsia="仿宋" w:hAnsi="Arial" w:cs="Arial"/>
          <w:sz w:val="24"/>
        </w:rPr>
        <w:t>Qiya</w:t>
      </w:r>
      <w:proofErr w:type="spellEnd"/>
      <w:r w:rsidR="008A355E" w:rsidRPr="004909D7">
        <w:rPr>
          <w:rFonts w:ascii="Arial" w:eastAsia="仿宋" w:hAnsi="Arial" w:cs="Arial"/>
          <w:sz w:val="24"/>
        </w:rPr>
        <w:t xml:space="preserve"> Aluminum &amp; Electricity, Xinjiang </w:t>
      </w:r>
      <w:proofErr w:type="spellStart"/>
      <w:r w:rsidR="002E4392" w:rsidRPr="004909D7">
        <w:rPr>
          <w:rFonts w:ascii="Arial" w:eastAsia="仿宋" w:hAnsi="Arial" w:cs="Arial"/>
          <w:sz w:val="24"/>
        </w:rPr>
        <w:t>Shenhuo</w:t>
      </w:r>
      <w:proofErr w:type="spellEnd"/>
      <w:r w:rsidR="002E4392" w:rsidRPr="004909D7">
        <w:rPr>
          <w:rFonts w:ascii="Arial" w:eastAsia="仿宋" w:hAnsi="Arial" w:cs="Arial"/>
          <w:sz w:val="24"/>
        </w:rPr>
        <w:t xml:space="preserve"> and </w:t>
      </w:r>
      <w:proofErr w:type="spellStart"/>
      <w:r w:rsidR="002E4392" w:rsidRPr="004909D7">
        <w:rPr>
          <w:rFonts w:ascii="Arial" w:eastAsia="仿宋" w:hAnsi="Arial" w:cs="Arial"/>
          <w:sz w:val="24"/>
        </w:rPr>
        <w:t>Tianlong</w:t>
      </w:r>
      <w:proofErr w:type="spellEnd"/>
      <w:r w:rsidR="002E4392" w:rsidRPr="004909D7">
        <w:rPr>
          <w:rFonts w:ascii="Arial" w:eastAsia="仿宋" w:hAnsi="Arial" w:cs="Arial"/>
          <w:sz w:val="24"/>
        </w:rPr>
        <w:t xml:space="preserve"> Mining could achieve </w:t>
      </w:r>
      <w:r w:rsidR="00677594" w:rsidRPr="004909D7">
        <w:rPr>
          <w:rFonts w:ascii="Arial" w:eastAsia="仿宋" w:hAnsi="Arial" w:cs="Arial"/>
          <w:sz w:val="24"/>
        </w:rPr>
        <w:t xml:space="preserve">anode self-supply; </w:t>
      </w:r>
      <w:r w:rsidR="004159EE" w:rsidRPr="004909D7">
        <w:rPr>
          <w:rFonts w:ascii="Arial" w:eastAsia="仿宋" w:hAnsi="Arial" w:cs="Arial"/>
          <w:sz w:val="24"/>
        </w:rPr>
        <w:t>W</w:t>
      </w:r>
      <w:r w:rsidR="00677594" w:rsidRPr="004909D7">
        <w:rPr>
          <w:rFonts w:ascii="Arial" w:eastAsia="仿宋" w:hAnsi="Arial" w:cs="Arial"/>
          <w:sz w:val="24"/>
        </w:rPr>
        <w:t xml:space="preserve">hile </w:t>
      </w:r>
      <w:proofErr w:type="spellStart"/>
      <w:r w:rsidR="00677594" w:rsidRPr="004909D7">
        <w:rPr>
          <w:rFonts w:ascii="Arial" w:eastAsia="仿宋" w:hAnsi="Arial" w:cs="Arial"/>
          <w:sz w:val="24"/>
        </w:rPr>
        <w:t>Tianshan</w:t>
      </w:r>
      <w:proofErr w:type="spellEnd"/>
      <w:r w:rsidR="00677594" w:rsidRPr="004909D7">
        <w:rPr>
          <w:rFonts w:ascii="Arial" w:eastAsia="仿宋" w:hAnsi="Arial" w:cs="Arial"/>
          <w:sz w:val="24"/>
        </w:rPr>
        <w:t xml:space="preserve"> Aluminum </w:t>
      </w:r>
      <w:r w:rsidR="004159EE" w:rsidRPr="004909D7">
        <w:rPr>
          <w:rFonts w:ascii="Arial" w:eastAsia="仿宋" w:hAnsi="Arial" w:cs="Arial"/>
          <w:sz w:val="24"/>
        </w:rPr>
        <w:t xml:space="preserve">has an anode capacity of about 300,000tpy and plans to construct 600,000tpy capacity in October 2019 when it </w:t>
      </w:r>
      <w:r w:rsidR="00A768A4" w:rsidRPr="004909D7">
        <w:rPr>
          <w:rFonts w:ascii="Arial" w:eastAsia="仿宋" w:hAnsi="Arial" w:cs="Arial"/>
          <w:sz w:val="24"/>
        </w:rPr>
        <w:t>will</w:t>
      </w:r>
      <w:r w:rsidR="004159EE" w:rsidRPr="004909D7">
        <w:rPr>
          <w:rFonts w:ascii="Arial" w:eastAsia="仿宋" w:hAnsi="Arial" w:cs="Arial"/>
          <w:sz w:val="24"/>
        </w:rPr>
        <w:t xml:space="preserve"> </w:t>
      </w:r>
      <w:r w:rsidR="009134C0" w:rsidRPr="004909D7">
        <w:rPr>
          <w:rFonts w:ascii="Arial" w:eastAsia="仿宋" w:hAnsi="Arial" w:cs="Arial"/>
          <w:sz w:val="24"/>
        </w:rPr>
        <w:t xml:space="preserve">realize </w:t>
      </w:r>
      <w:r w:rsidR="004159EE" w:rsidRPr="004909D7">
        <w:rPr>
          <w:rFonts w:ascii="Arial" w:eastAsia="仿宋" w:hAnsi="Arial" w:cs="Arial"/>
          <w:sz w:val="24"/>
        </w:rPr>
        <w:t xml:space="preserve">self-supply completely; But </w:t>
      </w:r>
      <w:proofErr w:type="spellStart"/>
      <w:r w:rsidR="00707298" w:rsidRPr="004909D7">
        <w:rPr>
          <w:rFonts w:ascii="Arial" w:eastAsia="仿宋" w:hAnsi="Arial" w:cs="Arial"/>
          <w:sz w:val="24"/>
        </w:rPr>
        <w:t>Jiarun</w:t>
      </w:r>
      <w:proofErr w:type="spellEnd"/>
      <w:r w:rsidR="00707298" w:rsidRPr="004909D7">
        <w:rPr>
          <w:rFonts w:ascii="Arial" w:eastAsia="仿宋" w:hAnsi="Arial" w:cs="Arial"/>
          <w:sz w:val="24"/>
        </w:rPr>
        <w:t xml:space="preserve"> Resource and Xinjiang </w:t>
      </w:r>
      <w:proofErr w:type="spellStart"/>
      <w:r w:rsidR="00707298" w:rsidRPr="004909D7">
        <w:rPr>
          <w:rFonts w:ascii="Arial" w:eastAsia="仿宋" w:hAnsi="Arial" w:cs="Arial"/>
          <w:sz w:val="24"/>
        </w:rPr>
        <w:t>Jointworld</w:t>
      </w:r>
      <w:proofErr w:type="spellEnd"/>
      <w:r w:rsidR="00707298" w:rsidRPr="004909D7">
        <w:rPr>
          <w:rFonts w:ascii="Arial" w:eastAsia="仿宋" w:hAnsi="Arial" w:cs="Arial"/>
          <w:sz w:val="24"/>
        </w:rPr>
        <w:t xml:space="preserve"> have no anode capacity by themselves.  </w:t>
      </w:r>
    </w:p>
    <w:p w:rsidR="009302BE" w:rsidRPr="004909D7" w:rsidRDefault="006A4B13" w:rsidP="004909D7">
      <w:pPr>
        <w:spacing w:afterLines="50"/>
        <w:ind w:firstLineChars="200" w:firstLine="480"/>
        <w:rPr>
          <w:rFonts w:ascii="Arial" w:eastAsia="仿宋" w:hAnsi="Arial" w:cs="Arial"/>
          <w:color w:val="000000"/>
          <w:sz w:val="24"/>
        </w:rPr>
      </w:pPr>
      <w:r w:rsidRPr="004909D7">
        <w:rPr>
          <w:rFonts w:ascii="Arial" w:eastAsia="仿宋" w:hAnsi="Arial" w:cs="Arial"/>
          <w:color w:val="000000"/>
          <w:sz w:val="24"/>
        </w:rPr>
        <w:t>Anode carb</w:t>
      </w:r>
      <w:r w:rsidR="00F5552C" w:rsidRPr="004909D7">
        <w:rPr>
          <w:rFonts w:ascii="Arial" w:eastAsia="仿宋" w:hAnsi="Arial" w:cs="Arial"/>
          <w:color w:val="000000"/>
          <w:sz w:val="24"/>
        </w:rPr>
        <w:t>on</w:t>
      </w:r>
      <w:r w:rsidR="009134C0" w:rsidRPr="004909D7">
        <w:rPr>
          <w:rFonts w:ascii="Arial" w:eastAsia="仿宋" w:hAnsi="Arial" w:cs="Arial"/>
          <w:color w:val="000000"/>
          <w:sz w:val="24"/>
        </w:rPr>
        <w:t xml:space="preserve"> </w:t>
      </w:r>
      <w:r w:rsidR="00F5552C" w:rsidRPr="004909D7">
        <w:rPr>
          <w:rFonts w:ascii="Arial" w:eastAsia="仿宋" w:hAnsi="Arial" w:cs="Arial"/>
          <w:color w:val="000000"/>
          <w:sz w:val="24"/>
        </w:rPr>
        <w:t>block</w:t>
      </w:r>
      <w:r w:rsidR="00446750" w:rsidRPr="004909D7">
        <w:rPr>
          <w:rFonts w:ascii="Arial" w:eastAsia="仿宋" w:hAnsi="Arial" w:cs="Arial"/>
          <w:color w:val="000000"/>
          <w:sz w:val="24"/>
        </w:rPr>
        <w:t xml:space="preserve"> is the ra</w:t>
      </w:r>
      <w:r w:rsidR="00D04779" w:rsidRPr="004909D7">
        <w:rPr>
          <w:rFonts w:ascii="Arial" w:eastAsia="仿宋" w:hAnsi="Arial" w:cs="Arial"/>
          <w:color w:val="000000"/>
          <w:sz w:val="24"/>
        </w:rPr>
        <w:t>w material for primary aluminum</w:t>
      </w:r>
      <w:r w:rsidR="00D04779" w:rsidRPr="004909D7">
        <w:rPr>
          <w:rFonts w:ascii="Arial" w:eastAsia="仿宋" w:hAnsi="Arial" w:cs="Arial" w:hint="eastAsia"/>
          <w:color w:val="000000"/>
          <w:sz w:val="24"/>
        </w:rPr>
        <w:t xml:space="preserve">, and it takes </w:t>
      </w:r>
      <w:r w:rsidR="00D04779" w:rsidRPr="004909D7">
        <w:rPr>
          <w:rFonts w:ascii="Arial" w:eastAsia="仿宋" w:hAnsi="Arial" w:cs="Arial"/>
          <w:color w:val="000000"/>
          <w:sz w:val="24"/>
        </w:rPr>
        <w:t>0.48t of anode carbon block on average</w:t>
      </w:r>
      <w:r w:rsidR="00D04779" w:rsidRPr="004909D7">
        <w:rPr>
          <w:rFonts w:ascii="Arial" w:eastAsia="仿宋" w:hAnsi="Arial" w:cs="Arial" w:hint="eastAsia"/>
          <w:color w:val="000000"/>
          <w:sz w:val="24"/>
        </w:rPr>
        <w:t xml:space="preserve"> to </w:t>
      </w:r>
      <w:r w:rsidR="009134C0" w:rsidRPr="004909D7">
        <w:rPr>
          <w:rFonts w:ascii="Arial" w:eastAsia="仿宋" w:hAnsi="Arial" w:cs="Arial"/>
          <w:color w:val="000000"/>
          <w:sz w:val="24"/>
        </w:rPr>
        <w:t>produc</w:t>
      </w:r>
      <w:r w:rsidR="00D04779" w:rsidRPr="004909D7">
        <w:rPr>
          <w:rFonts w:ascii="Arial" w:eastAsia="仿宋" w:hAnsi="Arial" w:cs="Arial" w:hint="eastAsia"/>
          <w:color w:val="000000"/>
          <w:sz w:val="24"/>
        </w:rPr>
        <w:t xml:space="preserve">e </w:t>
      </w:r>
      <w:r w:rsidR="00446750" w:rsidRPr="004909D7">
        <w:rPr>
          <w:rFonts w:ascii="Arial" w:eastAsia="仿宋" w:hAnsi="Arial" w:cs="Arial"/>
          <w:color w:val="000000"/>
          <w:sz w:val="24"/>
        </w:rPr>
        <w:t>1t of primary aluminum</w:t>
      </w:r>
      <w:r w:rsidR="00F5552C" w:rsidRPr="004909D7">
        <w:rPr>
          <w:rFonts w:ascii="Arial" w:eastAsia="仿宋" w:hAnsi="Arial" w:cs="Arial"/>
          <w:color w:val="000000"/>
          <w:sz w:val="24"/>
        </w:rPr>
        <w:t xml:space="preserve">. </w:t>
      </w:r>
      <w:r w:rsidR="009F1D05" w:rsidRPr="004909D7">
        <w:rPr>
          <w:rFonts w:ascii="Arial" w:eastAsia="仿宋" w:hAnsi="Arial" w:cs="Arial"/>
          <w:color w:val="000000"/>
          <w:sz w:val="24"/>
        </w:rPr>
        <w:t>Pet coke and coal tar pitch, the by-products of petroleum</w:t>
      </w:r>
      <w:r w:rsidR="00B540B8" w:rsidRPr="004909D7">
        <w:rPr>
          <w:rFonts w:ascii="Arial" w:eastAsia="仿宋" w:hAnsi="Arial" w:cs="Arial"/>
          <w:color w:val="000000"/>
          <w:sz w:val="24"/>
        </w:rPr>
        <w:t>, account for 70% of the production cost for anode carbon blo</w:t>
      </w:r>
      <w:r w:rsidR="009134C0" w:rsidRPr="004909D7">
        <w:rPr>
          <w:rFonts w:ascii="Arial" w:eastAsia="仿宋" w:hAnsi="Arial" w:cs="Arial"/>
          <w:color w:val="000000"/>
          <w:sz w:val="24"/>
        </w:rPr>
        <w:t xml:space="preserve">ck. Xinjiang is abundant in oil, </w:t>
      </w:r>
      <w:r w:rsidR="00B540B8" w:rsidRPr="004909D7">
        <w:rPr>
          <w:rFonts w:ascii="Arial" w:eastAsia="仿宋" w:hAnsi="Arial" w:cs="Arial"/>
          <w:color w:val="000000"/>
          <w:sz w:val="24"/>
        </w:rPr>
        <w:t xml:space="preserve">which is the basic condition for </w:t>
      </w:r>
      <w:r w:rsidR="00553A73" w:rsidRPr="004909D7">
        <w:rPr>
          <w:rFonts w:ascii="Arial" w:eastAsia="仿宋" w:hAnsi="Arial" w:cs="Arial"/>
          <w:color w:val="000000"/>
          <w:sz w:val="24"/>
        </w:rPr>
        <w:t xml:space="preserve">anode production. However, </w:t>
      </w:r>
      <w:r w:rsidR="009134C0" w:rsidRPr="004909D7">
        <w:rPr>
          <w:rFonts w:ascii="Arial" w:eastAsia="仿宋" w:hAnsi="Arial" w:cs="Arial"/>
          <w:color w:val="000000"/>
          <w:sz w:val="24"/>
        </w:rPr>
        <w:t xml:space="preserve">the annual supply of </w:t>
      </w:r>
      <w:r w:rsidR="00553A73" w:rsidRPr="004909D7">
        <w:rPr>
          <w:rFonts w:ascii="Arial" w:eastAsia="仿宋" w:hAnsi="Arial" w:cs="Arial"/>
          <w:color w:val="000000"/>
          <w:sz w:val="24"/>
        </w:rPr>
        <w:t xml:space="preserve">pet coke in Xinjiang is only 1.82 million tons and </w:t>
      </w:r>
      <w:r w:rsidR="009134C0" w:rsidRPr="004909D7">
        <w:rPr>
          <w:rFonts w:ascii="Arial" w:eastAsia="仿宋" w:hAnsi="Arial" w:cs="Arial"/>
          <w:color w:val="000000"/>
          <w:sz w:val="24"/>
        </w:rPr>
        <w:t xml:space="preserve">most of </w:t>
      </w:r>
      <w:r w:rsidR="00553A73" w:rsidRPr="004909D7">
        <w:rPr>
          <w:rFonts w:ascii="Arial" w:eastAsia="仿宋" w:hAnsi="Arial" w:cs="Arial"/>
          <w:color w:val="000000"/>
          <w:sz w:val="24"/>
        </w:rPr>
        <w:t xml:space="preserve">the </w:t>
      </w:r>
      <w:r w:rsidR="00EB297D" w:rsidRPr="004909D7">
        <w:rPr>
          <w:rFonts w:ascii="Arial" w:eastAsia="仿宋" w:hAnsi="Arial" w:cs="Arial"/>
          <w:color w:val="000000"/>
          <w:sz w:val="24"/>
        </w:rPr>
        <w:t xml:space="preserve">material </w:t>
      </w:r>
      <w:r w:rsidR="002A5258" w:rsidRPr="004909D7">
        <w:rPr>
          <w:rFonts w:ascii="Arial" w:eastAsia="仿宋" w:hAnsi="Arial" w:cs="Arial"/>
          <w:color w:val="000000"/>
          <w:sz w:val="24"/>
        </w:rPr>
        <w:t>contain</w:t>
      </w:r>
      <w:r w:rsidR="009134C0" w:rsidRPr="004909D7">
        <w:rPr>
          <w:rFonts w:ascii="Arial" w:eastAsia="仿宋" w:hAnsi="Arial" w:cs="Arial"/>
          <w:color w:val="000000"/>
          <w:sz w:val="24"/>
        </w:rPr>
        <w:t>s</w:t>
      </w:r>
      <w:r w:rsidR="00EB297D" w:rsidRPr="004909D7">
        <w:rPr>
          <w:rFonts w:ascii="Arial" w:eastAsia="仿宋" w:hAnsi="Arial" w:cs="Arial"/>
          <w:color w:val="000000"/>
          <w:sz w:val="24"/>
        </w:rPr>
        <w:t xml:space="preserve"> high </w:t>
      </w:r>
      <w:r w:rsidR="00C636A8" w:rsidRPr="004909D7">
        <w:rPr>
          <w:rFonts w:ascii="Arial" w:eastAsia="仿宋" w:hAnsi="Arial" w:cs="Arial"/>
          <w:color w:val="000000"/>
          <w:sz w:val="24"/>
        </w:rPr>
        <w:t>or</w:t>
      </w:r>
      <w:r w:rsidR="00EB297D" w:rsidRPr="004909D7">
        <w:rPr>
          <w:rFonts w:ascii="Arial" w:eastAsia="仿宋" w:hAnsi="Arial" w:cs="Arial"/>
          <w:color w:val="000000"/>
          <w:sz w:val="24"/>
        </w:rPr>
        <w:t xml:space="preserve"> medium </w:t>
      </w:r>
      <w:proofErr w:type="spellStart"/>
      <w:r w:rsidR="00EB297D" w:rsidRPr="004909D7">
        <w:rPr>
          <w:rFonts w:ascii="Arial" w:eastAsia="仿宋" w:hAnsi="Arial" w:cs="Arial"/>
          <w:color w:val="000000"/>
          <w:sz w:val="24"/>
        </w:rPr>
        <w:t>sulphur</w:t>
      </w:r>
      <w:proofErr w:type="spellEnd"/>
      <w:r w:rsidR="00EB297D" w:rsidRPr="004909D7">
        <w:rPr>
          <w:rFonts w:ascii="Arial" w:eastAsia="仿宋" w:hAnsi="Arial" w:cs="Arial"/>
          <w:color w:val="000000"/>
          <w:sz w:val="24"/>
        </w:rPr>
        <w:t>.</w:t>
      </w:r>
      <w:r w:rsidR="009134C0" w:rsidRPr="004909D7">
        <w:rPr>
          <w:rFonts w:ascii="Arial" w:eastAsia="仿宋" w:hAnsi="Arial" w:cs="Arial"/>
          <w:color w:val="000000"/>
          <w:sz w:val="24"/>
        </w:rPr>
        <w:t xml:space="preserve"> </w:t>
      </w:r>
      <w:r w:rsidR="002B3E75" w:rsidRPr="004909D7">
        <w:rPr>
          <w:rFonts w:ascii="Arial" w:eastAsia="仿宋" w:hAnsi="Arial" w:cs="Arial"/>
          <w:color w:val="000000"/>
          <w:sz w:val="24"/>
        </w:rPr>
        <w:t xml:space="preserve">Electrode and silicon plants need about </w:t>
      </w:r>
      <w:r w:rsidR="00C95744" w:rsidRPr="004909D7">
        <w:rPr>
          <w:rFonts w:ascii="Arial" w:eastAsia="仿宋" w:hAnsi="Arial" w:cs="Arial"/>
          <w:color w:val="000000"/>
          <w:sz w:val="24"/>
        </w:rPr>
        <w:t xml:space="preserve">0.5 million tons </w:t>
      </w:r>
      <w:r w:rsidR="002B3E75" w:rsidRPr="004909D7">
        <w:rPr>
          <w:rFonts w:ascii="Arial" w:eastAsia="仿宋" w:hAnsi="Arial" w:cs="Arial"/>
          <w:color w:val="000000"/>
          <w:sz w:val="24"/>
        </w:rPr>
        <w:t>of pet coke while aluminum plants need about 2.32 million tons</w:t>
      </w:r>
      <w:r w:rsidR="00BE5BB9" w:rsidRPr="004909D7">
        <w:rPr>
          <w:rFonts w:ascii="Arial" w:eastAsia="仿宋" w:hAnsi="Arial" w:cs="Arial"/>
          <w:color w:val="000000"/>
          <w:sz w:val="24"/>
        </w:rPr>
        <w:t>. T</w:t>
      </w:r>
      <w:r w:rsidR="00E10192" w:rsidRPr="004909D7">
        <w:rPr>
          <w:rFonts w:ascii="Arial" w:eastAsia="仿宋" w:hAnsi="Arial" w:cs="Arial"/>
          <w:color w:val="000000"/>
          <w:sz w:val="24"/>
        </w:rPr>
        <w:t xml:space="preserve">hus, </w:t>
      </w:r>
      <w:r w:rsidR="00BE5BB9" w:rsidRPr="004909D7">
        <w:rPr>
          <w:rFonts w:ascii="Arial" w:eastAsia="仿宋" w:hAnsi="Arial" w:cs="Arial"/>
          <w:color w:val="000000"/>
          <w:sz w:val="24"/>
        </w:rPr>
        <w:t xml:space="preserve">Xinjiang needs to consume about </w:t>
      </w:r>
      <w:r w:rsidR="00E10192" w:rsidRPr="004909D7">
        <w:rPr>
          <w:rFonts w:ascii="Arial" w:eastAsia="仿宋" w:hAnsi="Arial" w:cs="Arial"/>
          <w:color w:val="000000"/>
          <w:sz w:val="24"/>
        </w:rPr>
        <w:t>1</w:t>
      </w:r>
      <w:r w:rsidR="00BE5BB9" w:rsidRPr="004909D7">
        <w:rPr>
          <w:rFonts w:ascii="Arial" w:eastAsia="仿宋" w:hAnsi="Arial" w:cs="Arial"/>
          <w:color w:val="000000"/>
          <w:sz w:val="24"/>
        </w:rPr>
        <w:t xml:space="preserve">Mtpa </w:t>
      </w:r>
      <w:r w:rsidR="00E10192" w:rsidRPr="004909D7">
        <w:rPr>
          <w:rFonts w:ascii="Arial" w:eastAsia="仿宋" w:hAnsi="Arial" w:cs="Arial"/>
          <w:color w:val="000000"/>
          <w:sz w:val="24"/>
        </w:rPr>
        <w:t>of pet coke</w:t>
      </w:r>
      <w:r w:rsidR="00BE5BB9" w:rsidRPr="004909D7">
        <w:rPr>
          <w:rFonts w:ascii="Arial" w:eastAsia="仿宋" w:hAnsi="Arial" w:cs="Arial"/>
          <w:color w:val="000000"/>
          <w:sz w:val="24"/>
        </w:rPr>
        <w:t xml:space="preserve"> with low-to-medium sulfur content, and most of the materials are </w:t>
      </w:r>
      <w:r w:rsidR="00E10192" w:rsidRPr="004909D7">
        <w:rPr>
          <w:rFonts w:ascii="Arial" w:eastAsia="仿宋" w:hAnsi="Arial" w:cs="Arial"/>
          <w:color w:val="000000"/>
          <w:sz w:val="24"/>
        </w:rPr>
        <w:t xml:space="preserve">sourced from </w:t>
      </w:r>
      <w:r w:rsidR="009302BE" w:rsidRPr="004909D7">
        <w:rPr>
          <w:rFonts w:ascii="Arial" w:eastAsia="仿宋" w:hAnsi="Arial" w:cs="Arial"/>
          <w:color w:val="000000"/>
          <w:sz w:val="24"/>
        </w:rPr>
        <w:t xml:space="preserve">Russia, Kazakhstan, Turkmenistan </w:t>
      </w:r>
      <w:r w:rsidR="00D04779" w:rsidRPr="004909D7">
        <w:rPr>
          <w:rFonts w:ascii="Arial" w:eastAsia="仿宋" w:hAnsi="Arial" w:cs="Arial" w:hint="eastAsia"/>
          <w:color w:val="000000"/>
          <w:sz w:val="24"/>
        </w:rPr>
        <w:t>as well as</w:t>
      </w:r>
      <w:r w:rsidR="009302BE" w:rsidRPr="004909D7">
        <w:rPr>
          <w:rFonts w:ascii="Arial" w:eastAsia="仿宋" w:hAnsi="Arial" w:cs="Arial"/>
          <w:color w:val="000000"/>
          <w:sz w:val="24"/>
        </w:rPr>
        <w:t xml:space="preserve"> inland smelters in </w:t>
      </w:r>
      <w:proofErr w:type="spellStart"/>
      <w:r w:rsidR="009302BE" w:rsidRPr="004909D7">
        <w:rPr>
          <w:rFonts w:ascii="Arial" w:eastAsia="仿宋" w:hAnsi="Arial" w:cs="Arial"/>
          <w:color w:val="000000"/>
          <w:sz w:val="24"/>
        </w:rPr>
        <w:t>Yumen</w:t>
      </w:r>
      <w:proofErr w:type="spellEnd"/>
      <w:r w:rsidR="009302BE" w:rsidRPr="004909D7">
        <w:rPr>
          <w:rFonts w:ascii="Arial" w:eastAsia="仿宋" w:hAnsi="Arial" w:cs="Arial"/>
          <w:color w:val="000000"/>
          <w:sz w:val="24"/>
        </w:rPr>
        <w:t xml:space="preserve">, </w:t>
      </w:r>
      <w:proofErr w:type="spellStart"/>
      <w:r w:rsidR="009302BE" w:rsidRPr="004909D7">
        <w:rPr>
          <w:rFonts w:ascii="Arial" w:eastAsia="仿宋" w:hAnsi="Arial" w:cs="Arial"/>
          <w:color w:val="000000"/>
          <w:sz w:val="24"/>
        </w:rPr>
        <w:t>Zhoushan</w:t>
      </w:r>
      <w:proofErr w:type="spellEnd"/>
      <w:r w:rsidR="009302BE" w:rsidRPr="004909D7">
        <w:rPr>
          <w:rFonts w:ascii="Arial" w:eastAsia="仿宋" w:hAnsi="Arial" w:cs="Arial"/>
          <w:color w:val="000000"/>
          <w:sz w:val="24"/>
        </w:rPr>
        <w:t xml:space="preserve"> and Shandong</w:t>
      </w:r>
      <w:bookmarkStart w:id="0" w:name="_GoBack"/>
      <w:bookmarkEnd w:id="0"/>
      <w:r w:rsidR="009302BE" w:rsidRPr="004909D7">
        <w:rPr>
          <w:rFonts w:ascii="Arial" w:eastAsia="仿宋" w:hAnsi="Arial" w:cs="Arial"/>
          <w:color w:val="000000"/>
          <w:sz w:val="24"/>
        </w:rPr>
        <w:t xml:space="preserve">. </w:t>
      </w:r>
    </w:p>
    <w:p w:rsidR="00875161" w:rsidRPr="004909D7" w:rsidRDefault="00875161" w:rsidP="00A655AF">
      <w:pPr>
        <w:spacing w:afterLines="50"/>
        <w:rPr>
          <w:rFonts w:ascii="Arial" w:eastAsia="仿宋" w:hAnsi="Arial" w:cs="Arial"/>
          <w:color w:val="000000"/>
          <w:sz w:val="24"/>
        </w:rPr>
      </w:pPr>
    </w:p>
    <w:p w:rsidR="000A2752" w:rsidRPr="004909D7" w:rsidRDefault="000A2752" w:rsidP="00A655AF">
      <w:pPr>
        <w:spacing w:afterLines="50"/>
        <w:jc w:val="center"/>
        <w:rPr>
          <w:rFonts w:ascii="Arial" w:eastAsia="仿宋" w:hAnsi="Arial" w:cs="Arial"/>
          <w:color w:val="000000"/>
          <w:sz w:val="24"/>
        </w:rPr>
      </w:pPr>
    </w:p>
    <w:p w:rsidR="000A2752" w:rsidRPr="004909D7" w:rsidRDefault="00366989" w:rsidP="00A655AF">
      <w:pPr>
        <w:spacing w:afterLines="50"/>
        <w:jc w:val="center"/>
        <w:rPr>
          <w:rFonts w:ascii="Arial" w:eastAsia="仿宋" w:hAnsi="Arial" w:cs="Arial"/>
          <w:color w:val="000000"/>
          <w:sz w:val="24"/>
        </w:rPr>
      </w:pPr>
      <w:r w:rsidRPr="004909D7">
        <w:rPr>
          <w:rFonts w:ascii="Arial" w:eastAsia="仿宋" w:hAnsi="Arial" w:cs="Arial"/>
          <w:noProof/>
          <w:color w:val="000000"/>
          <w:sz w:val="24"/>
        </w:rPr>
        <w:drawing>
          <wp:inline distT="0" distB="0" distL="0" distR="0">
            <wp:extent cx="5467350" cy="3362325"/>
            <wp:effectExtent l="19050" t="0" r="19050" b="0"/>
            <wp:docPr id="10"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86D08" w:rsidRPr="004909D7" w:rsidRDefault="00586D08" w:rsidP="00A655AF">
      <w:pPr>
        <w:spacing w:afterLines="50"/>
        <w:jc w:val="center"/>
        <w:rPr>
          <w:rFonts w:ascii="Arial" w:eastAsia="仿宋" w:hAnsi="Arial" w:cs="Arial"/>
          <w:color w:val="000000"/>
          <w:sz w:val="24"/>
        </w:rPr>
      </w:pPr>
    </w:p>
    <w:p w:rsidR="000A2752" w:rsidRPr="004909D7" w:rsidRDefault="00D26435" w:rsidP="00A655AF">
      <w:pPr>
        <w:spacing w:afterLines="50"/>
        <w:jc w:val="center"/>
        <w:rPr>
          <w:rFonts w:ascii="Arial" w:eastAsia="仿宋" w:hAnsi="Arial" w:cs="Arial"/>
          <w:color w:val="000000"/>
          <w:sz w:val="24"/>
        </w:rPr>
      </w:pPr>
      <w:r w:rsidRPr="004909D7">
        <w:rPr>
          <w:rFonts w:ascii="Arial" w:eastAsia="仿宋" w:hAnsi="Arial" w:cs="Arial"/>
          <w:noProof/>
          <w:color w:val="000000"/>
          <w:sz w:val="24"/>
        </w:rPr>
        <w:drawing>
          <wp:inline distT="0" distB="0" distL="0" distR="0">
            <wp:extent cx="5467350" cy="3333750"/>
            <wp:effectExtent l="19050" t="0" r="19050" b="0"/>
            <wp:docPr id="11"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E5BB9" w:rsidRPr="004909D7" w:rsidRDefault="00BE5BB9" w:rsidP="00A655AF">
      <w:pPr>
        <w:spacing w:afterLines="50"/>
        <w:jc w:val="center"/>
        <w:rPr>
          <w:rFonts w:ascii="Arial" w:eastAsia="仿宋" w:hAnsi="Arial" w:cs="Arial"/>
          <w:color w:val="000000"/>
          <w:sz w:val="24"/>
        </w:rPr>
      </w:pPr>
    </w:p>
    <w:p w:rsidR="00586D08" w:rsidRPr="004909D7" w:rsidRDefault="00586D08" w:rsidP="00A655AF">
      <w:pPr>
        <w:spacing w:afterLines="50"/>
        <w:jc w:val="left"/>
        <w:rPr>
          <w:rFonts w:ascii="Arial" w:hAnsi="Arial" w:cs="Arial"/>
          <w:color w:val="000000"/>
          <w:sz w:val="24"/>
        </w:rPr>
      </w:pPr>
    </w:p>
    <w:p w:rsidR="009B4FD6" w:rsidRPr="004909D7" w:rsidRDefault="00BE5BB9" w:rsidP="004909D7">
      <w:pPr>
        <w:spacing w:afterLines="50"/>
        <w:ind w:firstLineChars="200" w:firstLine="480"/>
        <w:rPr>
          <w:rFonts w:ascii="Arial" w:hAnsi="Arial" w:cs="Arial"/>
          <w:color w:val="000000"/>
          <w:sz w:val="24"/>
        </w:rPr>
      </w:pPr>
      <w:r w:rsidRPr="004909D7">
        <w:rPr>
          <w:rFonts w:ascii="Arial" w:hAnsi="Arial" w:cs="Arial"/>
          <w:color w:val="000000"/>
          <w:sz w:val="24"/>
        </w:rPr>
        <w:t>There is no significant difference in the production cost among anode producers in Xinjiang. Historical statistics showed that anode carbon block</w:t>
      </w:r>
      <w:r w:rsidR="00041E74" w:rsidRPr="004909D7">
        <w:rPr>
          <w:rFonts w:ascii="Arial" w:hAnsi="Arial" w:cs="Arial"/>
          <w:color w:val="000000"/>
          <w:sz w:val="24"/>
        </w:rPr>
        <w:t xml:space="preserve"> production lines generated relatively thin profit margins</w:t>
      </w:r>
      <w:r w:rsidR="008D364E" w:rsidRPr="004909D7">
        <w:rPr>
          <w:rFonts w:ascii="Arial" w:hAnsi="Arial" w:cs="Arial"/>
          <w:color w:val="000000"/>
          <w:sz w:val="24"/>
        </w:rPr>
        <w:t xml:space="preserve">. Since 2017, China has seen a sharp drop in the rate of capacity utilization of anode carbon block, the price of which surged mainly due to the raw material price hike and the strict environmental inspection. </w:t>
      </w:r>
      <w:r w:rsidR="00642E68" w:rsidRPr="004909D7">
        <w:rPr>
          <w:rFonts w:ascii="Arial" w:hAnsi="Arial" w:cs="Arial"/>
          <w:color w:val="000000"/>
          <w:sz w:val="24"/>
        </w:rPr>
        <w:t xml:space="preserve">Affected by the policy changes and gloomy pet coke market, prebaked anode plants in Xinjiang saw a drastic decline of profitability in 2018, with sales price fluctuating slightly around </w:t>
      </w:r>
      <w:r w:rsidR="00D834DD" w:rsidRPr="004909D7">
        <w:rPr>
          <w:rFonts w:ascii="Arial" w:hAnsi="Arial" w:cs="Arial"/>
          <w:color w:val="000000"/>
          <w:sz w:val="24"/>
        </w:rPr>
        <w:t>cost price which was about RMB300/t (USD44.56/t) higher than that of other Chinese plants within the same industry.</w:t>
      </w:r>
      <w:r w:rsidR="0078711B" w:rsidRPr="004909D7">
        <w:rPr>
          <w:rFonts w:ascii="Arial" w:hAnsi="Arial" w:cs="Arial"/>
          <w:color w:val="000000"/>
          <w:sz w:val="24"/>
        </w:rPr>
        <w:t xml:space="preserve"> In addition, anode carbon block producers in Xinjiang have been cutting production or even been out of operation for a long time due to the high price and tight supply of coal tar pitch. Therefore, the supply shortage gives commercial carbon plants in Shandong and Henan the opportunities to supply anode carbon block to Xinjiang. It is believed that primary aluminum producers with high self-sufficiency in anode carbon block would have more </w:t>
      </w:r>
      <w:r w:rsidR="008143E4" w:rsidRPr="004909D7">
        <w:rPr>
          <w:rFonts w:ascii="Arial" w:hAnsi="Arial" w:cs="Arial"/>
          <w:color w:val="000000"/>
          <w:sz w:val="24"/>
        </w:rPr>
        <w:t xml:space="preserve">obvious cost advantage </w:t>
      </w:r>
      <w:r w:rsidR="0078711B" w:rsidRPr="004909D7">
        <w:rPr>
          <w:rFonts w:ascii="Arial" w:hAnsi="Arial" w:cs="Arial"/>
          <w:color w:val="000000"/>
          <w:sz w:val="24"/>
        </w:rPr>
        <w:t>in the near future.</w:t>
      </w:r>
    </w:p>
    <w:p w:rsidR="00586D08" w:rsidRPr="004909D7" w:rsidRDefault="00586D08" w:rsidP="00A30358">
      <w:pPr>
        <w:rPr>
          <w:rFonts w:ascii="Arial" w:hAnsi="Arial" w:cs="Arial"/>
          <w:color w:val="000000"/>
          <w:sz w:val="24"/>
        </w:rPr>
      </w:pPr>
    </w:p>
    <w:p w:rsidR="000A2752" w:rsidRPr="004909D7" w:rsidRDefault="0078711B" w:rsidP="00A30358">
      <w:pPr>
        <w:spacing w:afterLines="50"/>
        <w:rPr>
          <w:rFonts w:ascii="Arial" w:eastAsia="仿宋" w:hAnsi="Arial" w:cs="Arial"/>
          <w:sz w:val="24"/>
        </w:rPr>
      </w:pPr>
      <w:r w:rsidRPr="004909D7">
        <w:rPr>
          <w:rFonts w:ascii="Arial" w:eastAsia="仿宋" w:hAnsi="Arial" w:cs="Arial"/>
          <w:color w:val="000000"/>
          <w:sz w:val="24"/>
        </w:rPr>
        <w:t xml:space="preserve">According to statistics, the total output of anode carbon block </w:t>
      </w:r>
      <w:r w:rsidR="00E04EC7" w:rsidRPr="004909D7">
        <w:rPr>
          <w:rFonts w:ascii="Arial" w:eastAsia="仿宋" w:hAnsi="Arial" w:cs="Arial"/>
          <w:color w:val="000000"/>
          <w:sz w:val="24"/>
        </w:rPr>
        <w:t xml:space="preserve">in Xinjiang was about 2.8577 million tons in 2018, 924,000t from </w:t>
      </w:r>
      <w:proofErr w:type="spellStart"/>
      <w:r w:rsidR="00E04EC7" w:rsidRPr="004909D7">
        <w:rPr>
          <w:rFonts w:ascii="Arial" w:eastAsia="仿宋" w:hAnsi="Arial" w:cs="Arial"/>
          <w:sz w:val="24"/>
        </w:rPr>
        <w:t>Nongliushi</w:t>
      </w:r>
      <w:proofErr w:type="spellEnd"/>
      <w:r w:rsidR="00E04EC7" w:rsidRPr="004909D7">
        <w:rPr>
          <w:rFonts w:ascii="Arial" w:eastAsia="仿宋" w:hAnsi="Arial" w:cs="Arial"/>
          <w:sz w:val="24"/>
        </w:rPr>
        <w:t xml:space="preserve"> Coal Power, 608,500t from East Hope, 488,000t from Xinjiang </w:t>
      </w:r>
      <w:proofErr w:type="spellStart"/>
      <w:r w:rsidR="00E04EC7" w:rsidRPr="004909D7">
        <w:rPr>
          <w:rFonts w:ascii="Arial" w:eastAsia="仿宋" w:hAnsi="Arial" w:cs="Arial"/>
          <w:sz w:val="24"/>
        </w:rPr>
        <w:t>Shenhuo</w:t>
      </w:r>
      <w:proofErr w:type="spellEnd"/>
      <w:r w:rsidR="00E04EC7" w:rsidRPr="004909D7">
        <w:rPr>
          <w:rFonts w:ascii="Arial" w:eastAsia="仿宋" w:hAnsi="Arial" w:cs="Arial"/>
          <w:sz w:val="24"/>
        </w:rPr>
        <w:t xml:space="preserve">, 306,000t from </w:t>
      </w:r>
      <w:proofErr w:type="spellStart"/>
      <w:r w:rsidR="00E04EC7" w:rsidRPr="004909D7">
        <w:rPr>
          <w:rFonts w:ascii="Arial" w:eastAsia="仿宋" w:hAnsi="Arial" w:cs="Arial"/>
          <w:sz w:val="24"/>
        </w:rPr>
        <w:t>Tianshan</w:t>
      </w:r>
      <w:proofErr w:type="spellEnd"/>
      <w:r w:rsidR="00E04EC7" w:rsidRPr="004909D7">
        <w:rPr>
          <w:rFonts w:ascii="Arial" w:eastAsia="仿宋" w:hAnsi="Arial" w:cs="Arial"/>
          <w:sz w:val="24"/>
        </w:rPr>
        <w:t xml:space="preserve"> Aluminum, 411,000t from </w:t>
      </w:r>
      <w:proofErr w:type="spellStart"/>
      <w:r w:rsidR="00E04EC7" w:rsidRPr="004909D7">
        <w:rPr>
          <w:rFonts w:ascii="Arial" w:eastAsia="仿宋" w:hAnsi="Arial" w:cs="Arial"/>
          <w:sz w:val="24"/>
        </w:rPr>
        <w:t>Qiya</w:t>
      </w:r>
      <w:proofErr w:type="spellEnd"/>
      <w:r w:rsidR="00E04EC7" w:rsidRPr="004909D7">
        <w:rPr>
          <w:rFonts w:ascii="Arial" w:eastAsia="仿宋" w:hAnsi="Arial" w:cs="Arial"/>
          <w:sz w:val="24"/>
        </w:rPr>
        <w:t xml:space="preserve"> Aluminum and 120,200t from </w:t>
      </w:r>
      <w:proofErr w:type="spellStart"/>
      <w:r w:rsidR="00E04EC7" w:rsidRPr="004909D7">
        <w:rPr>
          <w:rFonts w:ascii="Arial" w:eastAsia="仿宋" w:hAnsi="Arial" w:cs="Arial"/>
          <w:sz w:val="24"/>
        </w:rPr>
        <w:t>Tianlong</w:t>
      </w:r>
      <w:proofErr w:type="spellEnd"/>
      <w:r w:rsidR="00E04EC7" w:rsidRPr="004909D7">
        <w:rPr>
          <w:rFonts w:ascii="Arial" w:eastAsia="仿宋" w:hAnsi="Arial" w:cs="Arial"/>
          <w:sz w:val="24"/>
        </w:rPr>
        <w:t xml:space="preserve"> Mining. Most producers within the industry realized self sufficiency, expect for </w:t>
      </w:r>
      <w:proofErr w:type="spellStart"/>
      <w:r w:rsidR="00E04EC7" w:rsidRPr="004909D7">
        <w:rPr>
          <w:rFonts w:ascii="Arial" w:eastAsia="仿宋" w:hAnsi="Arial" w:cs="Arial"/>
          <w:sz w:val="24"/>
        </w:rPr>
        <w:t>Jiarun</w:t>
      </w:r>
      <w:proofErr w:type="spellEnd"/>
      <w:r w:rsidR="00E04EC7" w:rsidRPr="004909D7">
        <w:rPr>
          <w:rFonts w:ascii="Arial" w:eastAsia="仿宋" w:hAnsi="Arial" w:cs="Arial"/>
          <w:sz w:val="24"/>
        </w:rPr>
        <w:t xml:space="preserve"> Resource and </w:t>
      </w:r>
      <w:proofErr w:type="spellStart"/>
      <w:r w:rsidR="00E04EC7" w:rsidRPr="004909D7">
        <w:rPr>
          <w:rFonts w:ascii="Arial" w:eastAsia="仿宋" w:hAnsi="Arial" w:cs="Arial"/>
          <w:sz w:val="24"/>
        </w:rPr>
        <w:t>Tianshan</w:t>
      </w:r>
      <w:proofErr w:type="spellEnd"/>
      <w:r w:rsidR="00E04EC7" w:rsidRPr="004909D7">
        <w:rPr>
          <w:rFonts w:ascii="Arial" w:eastAsia="仿宋" w:hAnsi="Arial" w:cs="Arial"/>
          <w:sz w:val="24"/>
        </w:rPr>
        <w:t xml:space="preserve"> Aluminum which</w:t>
      </w:r>
      <w:r w:rsidR="00301FCD" w:rsidRPr="004909D7">
        <w:rPr>
          <w:rFonts w:ascii="Arial" w:eastAsia="仿宋" w:hAnsi="Arial" w:cs="Arial"/>
          <w:sz w:val="24"/>
        </w:rPr>
        <w:t xml:space="preserve"> together saw</w:t>
      </w:r>
      <w:r w:rsidR="00E04EC7" w:rsidRPr="004909D7">
        <w:rPr>
          <w:rFonts w:ascii="Arial" w:eastAsia="仿宋" w:hAnsi="Arial" w:cs="Arial"/>
          <w:sz w:val="24"/>
        </w:rPr>
        <w:t xml:space="preserve"> deficit of about </w:t>
      </w:r>
      <w:r w:rsidR="00301FCD" w:rsidRPr="004909D7">
        <w:rPr>
          <w:rFonts w:ascii="Arial" w:eastAsia="仿宋" w:hAnsi="Arial" w:cs="Arial"/>
          <w:sz w:val="24"/>
        </w:rPr>
        <w:t>450,000t. As mentioned before, the demand-supply gap was mainly filled by commercial carbon plants in Shandong and Henan.</w:t>
      </w:r>
    </w:p>
    <w:p w:rsidR="00477034" w:rsidRPr="004909D7" w:rsidRDefault="001D7C0D" w:rsidP="00A655AF">
      <w:pPr>
        <w:spacing w:afterLines="50"/>
        <w:jc w:val="center"/>
        <w:rPr>
          <w:rFonts w:ascii="Arial" w:eastAsia="仿宋" w:hAnsi="Arial" w:cs="Arial"/>
          <w:color w:val="000000"/>
          <w:sz w:val="24"/>
        </w:rPr>
      </w:pPr>
      <w:r w:rsidRPr="004909D7">
        <w:rPr>
          <w:rFonts w:ascii="Arial" w:eastAsia="仿宋" w:hAnsi="Arial" w:cs="Arial"/>
          <w:noProof/>
          <w:color w:val="000000"/>
          <w:sz w:val="24"/>
        </w:rPr>
        <w:drawing>
          <wp:inline distT="0" distB="0" distL="0" distR="0">
            <wp:extent cx="5711899" cy="3625702"/>
            <wp:effectExtent l="19050" t="0" r="22151" b="0"/>
            <wp:docPr id="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86D08" w:rsidRPr="004909D7" w:rsidRDefault="00586D08" w:rsidP="004909D7">
      <w:pPr>
        <w:spacing w:afterLines="50"/>
        <w:ind w:firstLineChars="200" w:firstLine="480"/>
        <w:rPr>
          <w:rFonts w:ascii="Arial" w:eastAsia="仿宋" w:hAnsi="Arial" w:cs="Arial"/>
          <w:color w:val="000000"/>
          <w:sz w:val="24"/>
        </w:rPr>
      </w:pPr>
    </w:p>
    <w:p w:rsidR="000A2752" w:rsidRPr="004909D7" w:rsidRDefault="00301FCD" w:rsidP="00A30358">
      <w:pPr>
        <w:spacing w:afterLines="50"/>
        <w:rPr>
          <w:rFonts w:ascii="Arial" w:eastAsia="仿宋" w:hAnsi="Arial" w:cs="Arial"/>
          <w:color w:val="000000"/>
          <w:sz w:val="24"/>
        </w:rPr>
      </w:pPr>
      <w:r w:rsidRPr="004909D7">
        <w:rPr>
          <w:rFonts w:ascii="Arial" w:eastAsia="仿宋" w:hAnsi="Arial" w:cs="Arial"/>
          <w:color w:val="000000"/>
          <w:sz w:val="24"/>
        </w:rPr>
        <w:t xml:space="preserve">With the trade tension easing between China and the United States staring this year, </w:t>
      </w:r>
      <w:r w:rsidR="00B078D0" w:rsidRPr="004909D7">
        <w:rPr>
          <w:rFonts w:ascii="Arial" w:eastAsia="仿宋" w:hAnsi="Arial" w:cs="Arial"/>
          <w:color w:val="000000"/>
          <w:sz w:val="24"/>
        </w:rPr>
        <w:t xml:space="preserve">and </w:t>
      </w:r>
      <w:r w:rsidRPr="004909D7">
        <w:rPr>
          <w:rFonts w:ascii="Arial" w:eastAsia="仿宋" w:hAnsi="Arial" w:cs="Arial"/>
          <w:color w:val="000000"/>
          <w:sz w:val="24"/>
        </w:rPr>
        <w:t xml:space="preserve">also affected by China's massive tax cuts policy and </w:t>
      </w:r>
      <w:r w:rsidR="00B078D0" w:rsidRPr="004909D7">
        <w:rPr>
          <w:rFonts w:ascii="Arial" w:eastAsia="仿宋" w:hAnsi="Arial" w:cs="Arial"/>
          <w:color w:val="000000"/>
          <w:sz w:val="24"/>
        </w:rPr>
        <w:t xml:space="preserve">the </w:t>
      </w:r>
      <w:r w:rsidRPr="004909D7">
        <w:rPr>
          <w:rFonts w:ascii="Arial" w:eastAsia="仿宋" w:hAnsi="Arial" w:cs="Arial"/>
          <w:color w:val="000000"/>
          <w:sz w:val="24"/>
        </w:rPr>
        <w:t>stronger support for increasing financing for</w:t>
      </w:r>
      <w:r w:rsidR="00B078D0" w:rsidRPr="004909D7">
        <w:rPr>
          <w:rFonts w:ascii="Arial" w:eastAsia="仿宋" w:hAnsi="Arial" w:cs="Arial"/>
          <w:color w:val="000000"/>
          <w:sz w:val="24"/>
        </w:rPr>
        <w:t xml:space="preserve"> private enterprise, China's economy is expected to gradually stabilize and grow. With more and more good news for real economy, </w:t>
      </w:r>
      <w:r w:rsidR="00EC5E91" w:rsidRPr="004909D7">
        <w:rPr>
          <w:rFonts w:ascii="Arial" w:eastAsia="仿宋" w:hAnsi="Arial" w:cs="Arial"/>
          <w:color w:val="000000"/>
          <w:sz w:val="24"/>
        </w:rPr>
        <w:t xml:space="preserve">prices for primary aluminum are expected to be supported to some extent. </w:t>
      </w:r>
    </w:p>
    <w:p w:rsidR="00A30358" w:rsidRDefault="00A30358" w:rsidP="00A30358">
      <w:pPr>
        <w:spacing w:afterLines="50"/>
        <w:rPr>
          <w:rFonts w:ascii="Arial" w:eastAsia="仿宋" w:hAnsi="Arial" w:cs="Arial" w:hint="eastAsia"/>
          <w:color w:val="000000"/>
          <w:sz w:val="24"/>
        </w:rPr>
      </w:pPr>
    </w:p>
    <w:p w:rsidR="000A2752" w:rsidRPr="004909D7" w:rsidRDefault="008143E4" w:rsidP="00A30358">
      <w:pPr>
        <w:spacing w:afterLines="50"/>
        <w:rPr>
          <w:rFonts w:ascii="Arial" w:eastAsia="仿宋" w:hAnsi="Arial" w:cs="Arial"/>
          <w:color w:val="000000"/>
          <w:sz w:val="24"/>
        </w:rPr>
      </w:pPr>
      <w:r w:rsidRPr="004909D7">
        <w:rPr>
          <w:rFonts w:ascii="Arial" w:eastAsia="仿宋" w:hAnsi="Arial" w:cs="Arial"/>
          <w:color w:val="000000"/>
          <w:sz w:val="24"/>
        </w:rPr>
        <w:t xml:space="preserve">Xinjiang Government </w:t>
      </w:r>
      <w:r w:rsidR="00B26F96" w:rsidRPr="004909D7">
        <w:rPr>
          <w:rFonts w:ascii="Arial" w:eastAsia="仿宋" w:hAnsi="Arial" w:cs="Arial"/>
          <w:color w:val="000000"/>
          <w:sz w:val="24"/>
        </w:rPr>
        <w:t xml:space="preserve">will open the door to more development investment and maintain steady economic growth at the same time. This would be beneficial to the development of primary aluminum enterprises as well as anode carbon plants within the provincial region. However, there are still many uncertainties </w:t>
      </w:r>
      <w:r w:rsidR="00985291" w:rsidRPr="004909D7">
        <w:rPr>
          <w:rFonts w:ascii="Arial" w:eastAsia="仿宋" w:hAnsi="Arial" w:cs="Arial"/>
          <w:color w:val="000000"/>
          <w:sz w:val="24"/>
        </w:rPr>
        <w:t>about</w:t>
      </w:r>
      <w:r w:rsidR="00B26F96" w:rsidRPr="004909D7">
        <w:rPr>
          <w:rFonts w:ascii="Arial" w:eastAsia="仿宋" w:hAnsi="Arial" w:cs="Arial"/>
          <w:color w:val="000000"/>
          <w:sz w:val="24"/>
        </w:rPr>
        <w:t xml:space="preserve"> China-U.S. trade war, not to mention the </w:t>
      </w:r>
      <w:r w:rsidR="00C01A82" w:rsidRPr="004909D7">
        <w:rPr>
          <w:rFonts w:ascii="Arial" w:eastAsia="仿宋" w:hAnsi="Arial" w:cs="Arial"/>
          <w:color w:val="000000"/>
          <w:sz w:val="24"/>
        </w:rPr>
        <w:t xml:space="preserve">severe overcapacity and production surplus in primary aluminum industry last year, especially in late 2018 when the growth of aluminum prices was greatly driven down by the </w:t>
      </w:r>
      <w:r w:rsidR="00985291" w:rsidRPr="004909D7">
        <w:rPr>
          <w:rFonts w:ascii="Arial" w:eastAsia="仿宋" w:hAnsi="Arial" w:cs="Arial"/>
          <w:color w:val="000000"/>
          <w:sz w:val="24"/>
        </w:rPr>
        <w:t>gradual</w:t>
      </w:r>
      <w:r w:rsidR="00C01A82" w:rsidRPr="004909D7">
        <w:rPr>
          <w:rFonts w:ascii="Arial" w:eastAsia="仿宋" w:hAnsi="Arial" w:cs="Arial"/>
          <w:color w:val="000000"/>
          <w:sz w:val="24"/>
        </w:rPr>
        <w:t xml:space="preserve"> resumption of primary aluminum capacity through capacity replacement project</w:t>
      </w:r>
      <w:r w:rsidR="00985291" w:rsidRPr="004909D7">
        <w:rPr>
          <w:rFonts w:ascii="Arial" w:eastAsia="仿宋" w:hAnsi="Arial" w:cs="Arial"/>
          <w:color w:val="000000"/>
          <w:sz w:val="24"/>
        </w:rPr>
        <w:t>s</w:t>
      </w:r>
      <w:r w:rsidR="00C01A82" w:rsidRPr="004909D7">
        <w:rPr>
          <w:rFonts w:ascii="Arial" w:eastAsia="仿宋" w:hAnsi="Arial" w:cs="Arial"/>
          <w:color w:val="000000"/>
          <w:sz w:val="24"/>
        </w:rPr>
        <w:t xml:space="preserve"> in </w:t>
      </w:r>
      <w:r w:rsidR="00985291" w:rsidRPr="004909D7">
        <w:rPr>
          <w:rFonts w:ascii="Arial" w:eastAsia="仿宋" w:hAnsi="Arial" w:cs="Arial"/>
          <w:color w:val="000000"/>
          <w:sz w:val="24"/>
        </w:rPr>
        <w:t>Inner Mongolia and Yunnan.</w:t>
      </w:r>
      <w:r w:rsidR="00CD3912" w:rsidRPr="004909D7">
        <w:rPr>
          <w:rFonts w:ascii="Arial" w:eastAsia="仿宋" w:hAnsi="Arial" w:cs="Arial"/>
          <w:color w:val="000000"/>
          <w:sz w:val="24"/>
        </w:rPr>
        <w:t xml:space="preserve"> Besides, an estimated decline of 157,000t in the supply of pet coke is expected for this year when </w:t>
      </w:r>
      <w:proofErr w:type="spellStart"/>
      <w:r w:rsidR="00CD3912" w:rsidRPr="004909D7">
        <w:rPr>
          <w:rFonts w:ascii="Arial" w:eastAsia="仿宋" w:hAnsi="Arial" w:cs="Arial"/>
          <w:color w:val="000000"/>
          <w:sz w:val="24"/>
        </w:rPr>
        <w:t>Xinjiang's</w:t>
      </w:r>
      <w:proofErr w:type="spellEnd"/>
      <w:r w:rsidR="00CD3912" w:rsidRPr="004909D7">
        <w:rPr>
          <w:rFonts w:ascii="Arial" w:eastAsia="仿宋" w:hAnsi="Arial" w:cs="Arial"/>
          <w:color w:val="000000"/>
          <w:sz w:val="24"/>
        </w:rPr>
        <w:t xml:space="preserve"> five major petrochemical companies would successively suspend production for maintenance. Other factors include the continuously high costs and tight supply of coal tar in Xinjiang and the major overhaul of </w:t>
      </w:r>
      <w:proofErr w:type="spellStart"/>
      <w:r w:rsidR="00CD3912" w:rsidRPr="004909D7">
        <w:rPr>
          <w:rFonts w:ascii="Arial" w:eastAsia="仿宋" w:hAnsi="Arial" w:cs="Arial"/>
          <w:color w:val="000000"/>
          <w:sz w:val="24"/>
        </w:rPr>
        <w:t>calcining</w:t>
      </w:r>
      <w:proofErr w:type="spellEnd"/>
      <w:r w:rsidR="00CD3912" w:rsidRPr="004909D7">
        <w:rPr>
          <w:rFonts w:ascii="Arial" w:eastAsia="仿宋" w:hAnsi="Arial" w:cs="Arial"/>
          <w:color w:val="000000"/>
          <w:sz w:val="24"/>
        </w:rPr>
        <w:t xml:space="preserve"> furnace that has been carried out or to be performed at carbon plants this year. All this led to higher production costs for anode carbon plants in Xinjiang and the situation would continue over a longer period of time. Carbon producers in </w:t>
      </w:r>
      <w:proofErr w:type="spellStart"/>
      <w:r w:rsidR="00CD3912" w:rsidRPr="004909D7">
        <w:rPr>
          <w:rFonts w:ascii="Arial" w:eastAsia="仿宋" w:hAnsi="Arial" w:cs="Arial"/>
          <w:color w:val="000000"/>
          <w:sz w:val="24"/>
        </w:rPr>
        <w:t>Xingiang</w:t>
      </w:r>
      <w:proofErr w:type="spellEnd"/>
      <w:r w:rsidR="00CD3912" w:rsidRPr="004909D7">
        <w:rPr>
          <w:rFonts w:ascii="Arial" w:eastAsia="仿宋" w:hAnsi="Arial" w:cs="Arial"/>
          <w:color w:val="000000"/>
          <w:sz w:val="24"/>
        </w:rPr>
        <w:t xml:space="preserve">, facing great challenges, are finding themselves in a difficult situation now. </w:t>
      </w:r>
    </w:p>
    <w:p w:rsidR="00586D08" w:rsidRPr="004909D7" w:rsidRDefault="00586D08" w:rsidP="004909D7">
      <w:pPr>
        <w:spacing w:afterLines="50"/>
        <w:ind w:firstLineChars="200" w:firstLine="480"/>
        <w:rPr>
          <w:rFonts w:ascii="Arial" w:eastAsia="仿宋" w:hAnsi="Arial" w:cs="Arial"/>
          <w:color w:val="000000"/>
          <w:sz w:val="24"/>
        </w:rPr>
      </w:pPr>
    </w:p>
    <w:p w:rsidR="006D3F79" w:rsidRPr="004909D7" w:rsidRDefault="00CD3912" w:rsidP="004909D7">
      <w:pPr>
        <w:spacing w:afterLines="50"/>
        <w:ind w:firstLineChars="200" w:firstLine="480"/>
        <w:rPr>
          <w:rFonts w:ascii="Arial" w:eastAsia="仿宋" w:hAnsi="Arial" w:cs="Arial"/>
          <w:color w:val="000000"/>
          <w:sz w:val="24"/>
        </w:rPr>
      </w:pPr>
      <w:r w:rsidRPr="004909D7">
        <w:rPr>
          <w:rFonts w:ascii="Arial" w:eastAsia="仿宋" w:hAnsi="Arial" w:cs="Arial"/>
          <w:color w:val="000000"/>
          <w:sz w:val="24"/>
        </w:rPr>
        <w:t>And that's the end of my presentation</w:t>
      </w:r>
      <w:r w:rsidR="00586D08" w:rsidRPr="004909D7">
        <w:rPr>
          <w:rFonts w:ascii="Arial" w:eastAsia="仿宋" w:hAnsi="Arial" w:cs="Arial" w:hint="eastAsia"/>
          <w:color w:val="000000"/>
          <w:sz w:val="24"/>
        </w:rPr>
        <w:t>. T</w:t>
      </w:r>
      <w:r w:rsidRPr="004909D7">
        <w:rPr>
          <w:rFonts w:ascii="Arial" w:eastAsia="仿宋" w:hAnsi="Arial" w:cs="Arial"/>
          <w:color w:val="000000"/>
          <w:sz w:val="24"/>
        </w:rPr>
        <w:t>hank you!</w:t>
      </w:r>
    </w:p>
    <w:p w:rsidR="006D3F79" w:rsidRPr="004909D7" w:rsidRDefault="006D3F79" w:rsidP="004909D7">
      <w:pPr>
        <w:spacing w:afterLines="50"/>
        <w:ind w:firstLineChars="200" w:firstLine="480"/>
        <w:rPr>
          <w:rFonts w:ascii="Arial" w:eastAsia="仿宋" w:hAnsi="Arial" w:cs="Arial"/>
          <w:color w:val="000000"/>
          <w:sz w:val="24"/>
        </w:rPr>
      </w:pPr>
    </w:p>
    <w:p w:rsidR="00875161" w:rsidRPr="004909D7" w:rsidRDefault="00CD3912" w:rsidP="004909D7">
      <w:pPr>
        <w:spacing w:afterLines="50"/>
        <w:ind w:firstLineChars="1900" w:firstLine="4560"/>
        <w:rPr>
          <w:rFonts w:ascii="Arial" w:eastAsia="仿宋" w:hAnsi="Arial" w:cs="Arial"/>
          <w:color w:val="000000"/>
          <w:sz w:val="24"/>
        </w:rPr>
      </w:pPr>
      <w:r w:rsidRPr="004909D7">
        <w:rPr>
          <w:rFonts w:ascii="Arial" w:eastAsia="仿宋" w:hAnsi="Arial" w:cs="Arial"/>
          <w:color w:val="000000"/>
          <w:sz w:val="24"/>
        </w:rPr>
        <w:t xml:space="preserve">Zhang </w:t>
      </w:r>
      <w:proofErr w:type="spellStart"/>
      <w:r w:rsidRPr="004909D7">
        <w:rPr>
          <w:rFonts w:ascii="Arial" w:eastAsia="仿宋" w:hAnsi="Arial" w:cs="Arial"/>
          <w:color w:val="000000"/>
          <w:sz w:val="24"/>
        </w:rPr>
        <w:t>Shaomao</w:t>
      </w:r>
      <w:proofErr w:type="spellEnd"/>
    </w:p>
    <w:p w:rsidR="00CD3912" w:rsidRPr="004909D7" w:rsidRDefault="00CD3912" w:rsidP="004909D7">
      <w:pPr>
        <w:spacing w:afterLines="50"/>
        <w:ind w:right="640" w:firstLineChars="200" w:firstLine="480"/>
        <w:jc w:val="center"/>
        <w:rPr>
          <w:rFonts w:ascii="Arial" w:eastAsia="仿宋" w:hAnsi="Arial" w:cs="Arial"/>
          <w:color w:val="000000"/>
          <w:sz w:val="24"/>
        </w:rPr>
      </w:pPr>
      <w:r w:rsidRPr="004909D7">
        <w:rPr>
          <w:rFonts w:ascii="Arial" w:eastAsia="仿宋" w:hAnsi="Arial" w:cs="Arial"/>
          <w:color w:val="000000"/>
          <w:sz w:val="24"/>
        </w:rPr>
        <w:t xml:space="preserve">                            17</w:t>
      </w:r>
      <w:r w:rsidR="006D3F79" w:rsidRPr="004909D7">
        <w:rPr>
          <w:rFonts w:ascii="Arial" w:eastAsia="仿宋" w:hAnsi="Arial" w:cs="Arial" w:hint="eastAsia"/>
          <w:color w:val="000000"/>
          <w:sz w:val="24"/>
        </w:rPr>
        <w:t xml:space="preserve"> May</w:t>
      </w:r>
      <w:r w:rsidRPr="004909D7">
        <w:rPr>
          <w:rFonts w:ascii="Arial" w:eastAsia="仿宋" w:hAnsi="Arial" w:cs="Arial"/>
          <w:color w:val="000000"/>
          <w:sz w:val="24"/>
        </w:rPr>
        <w:t>, 2019</w:t>
      </w:r>
    </w:p>
    <w:p w:rsidR="00875161" w:rsidRPr="004909D7" w:rsidRDefault="00875161" w:rsidP="007F43C9">
      <w:pPr>
        <w:spacing w:afterLines="50"/>
        <w:rPr>
          <w:rFonts w:ascii="Arial" w:eastAsia="仿宋" w:hAnsi="Arial" w:cs="Arial"/>
          <w:sz w:val="24"/>
        </w:rPr>
      </w:pPr>
    </w:p>
    <w:sectPr w:rsidR="00875161" w:rsidRPr="004909D7" w:rsidSect="00875161">
      <w:pgSz w:w="11906" w:h="16838"/>
      <w:pgMar w:top="1757" w:right="1191" w:bottom="1757" w:left="119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C69" w:rsidRDefault="00B02C69" w:rsidP="007502D2">
      <w:r>
        <w:separator/>
      </w:r>
    </w:p>
  </w:endnote>
  <w:endnote w:type="continuationSeparator" w:id="0">
    <w:p w:rsidR="00B02C69" w:rsidRDefault="00B02C69" w:rsidP="007502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C69" w:rsidRDefault="00B02C69" w:rsidP="007502D2">
      <w:r>
        <w:separator/>
      </w:r>
    </w:p>
  </w:footnote>
  <w:footnote w:type="continuationSeparator" w:id="0">
    <w:p w:rsidR="00B02C69" w:rsidRDefault="00B02C69" w:rsidP="007502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662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41E74"/>
    <w:rsid w:val="00042643"/>
    <w:rsid w:val="000553D0"/>
    <w:rsid w:val="000772BF"/>
    <w:rsid w:val="000A0657"/>
    <w:rsid w:val="000A2752"/>
    <w:rsid w:val="000D02B8"/>
    <w:rsid w:val="001261C1"/>
    <w:rsid w:val="00131B0F"/>
    <w:rsid w:val="00144969"/>
    <w:rsid w:val="001663D8"/>
    <w:rsid w:val="00172A27"/>
    <w:rsid w:val="001D7C0D"/>
    <w:rsid w:val="002442CA"/>
    <w:rsid w:val="00295DE1"/>
    <w:rsid w:val="002A5258"/>
    <w:rsid w:val="002B3E75"/>
    <w:rsid w:val="002E0727"/>
    <w:rsid w:val="002E4392"/>
    <w:rsid w:val="00301FCD"/>
    <w:rsid w:val="00330C59"/>
    <w:rsid w:val="00366989"/>
    <w:rsid w:val="004159EE"/>
    <w:rsid w:val="00436A16"/>
    <w:rsid w:val="004452B1"/>
    <w:rsid w:val="00446750"/>
    <w:rsid w:val="00477034"/>
    <w:rsid w:val="004909D7"/>
    <w:rsid w:val="004C3802"/>
    <w:rsid w:val="00511066"/>
    <w:rsid w:val="00553A73"/>
    <w:rsid w:val="00586D08"/>
    <w:rsid w:val="00614A5E"/>
    <w:rsid w:val="00642E68"/>
    <w:rsid w:val="00651B7A"/>
    <w:rsid w:val="00653393"/>
    <w:rsid w:val="00677594"/>
    <w:rsid w:val="006A4B13"/>
    <w:rsid w:val="006B6441"/>
    <w:rsid w:val="006D3F79"/>
    <w:rsid w:val="006F3A34"/>
    <w:rsid w:val="00707298"/>
    <w:rsid w:val="00744D24"/>
    <w:rsid w:val="007502D2"/>
    <w:rsid w:val="0078711B"/>
    <w:rsid w:val="007A32C1"/>
    <w:rsid w:val="007B3D82"/>
    <w:rsid w:val="007C0167"/>
    <w:rsid w:val="007D4FBE"/>
    <w:rsid w:val="007E2555"/>
    <w:rsid w:val="007F43C9"/>
    <w:rsid w:val="008143E4"/>
    <w:rsid w:val="00816621"/>
    <w:rsid w:val="00827F35"/>
    <w:rsid w:val="00875161"/>
    <w:rsid w:val="008A355E"/>
    <w:rsid w:val="008D364E"/>
    <w:rsid w:val="008D5FD2"/>
    <w:rsid w:val="009134C0"/>
    <w:rsid w:val="00924D97"/>
    <w:rsid w:val="009302BE"/>
    <w:rsid w:val="00951649"/>
    <w:rsid w:val="00985291"/>
    <w:rsid w:val="009B4FD6"/>
    <w:rsid w:val="009F1D05"/>
    <w:rsid w:val="00A30358"/>
    <w:rsid w:val="00A600D9"/>
    <w:rsid w:val="00A655AF"/>
    <w:rsid w:val="00A768A4"/>
    <w:rsid w:val="00AB5B86"/>
    <w:rsid w:val="00B02C69"/>
    <w:rsid w:val="00B078D0"/>
    <w:rsid w:val="00B24656"/>
    <w:rsid w:val="00B26F96"/>
    <w:rsid w:val="00B540B8"/>
    <w:rsid w:val="00B710EC"/>
    <w:rsid w:val="00B724BC"/>
    <w:rsid w:val="00BE5BB9"/>
    <w:rsid w:val="00C01A82"/>
    <w:rsid w:val="00C636A8"/>
    <w:rsid w:val="00C7226B"/>
    <w:rsid w:val="00C95744"/>
    <w:rsid w:val="00CA0E72"/>
    <w:rsid w:val="00CC47AB"/>
    <w:rsid w:val="00CD3912"/>
    <w:rsid w:val="00CD6B39"/>
    <w:rsid w:val="00D04265"/>
    <w:rsid w:val="00D04779"/>
    <w:rsid w:val="00D26435"/>
    <w:rsid w:val="00D73BE1"/>
    <w:rsid w:val="00D834DD"/>
    <w:rsid w:val="00D84BB2"/>
    <w:rsid w:val="00DA1506"/>
    <w:rsid w:val="00DD6BF7"/>
    <w:rsid w:val="00E04EC7"/>
    <w:rsid w:val="00E10192"/>
    <w:rsid w:val="00EB297D"/>
    <w:rsid w:val="00EC5E91"/>
    <w:rsid w:val="00F5552C"/>
    <w:rsid w:val="00F62931"/>
    <w:rsid w:val="00F91522"/>
    <w:rsid w:val="03503C23"/>
    <w:rsid w:val="05C37AA6"/>
    <w:rsid w:val="087E1C28"/>
    <w:rsid w:val="0F6B6583"/>
    <w:rsid w:val="0FBB5D66"/>
    <w:rsid w:val="17E971A7"/>
    <w:rsid w:val="181014A7"/>
    <w:rsid w:val="1EB16A89"/>
    <w:rsid w:val="21EA1F0E"/>
    <w:rsid w:val="43981305"/>
    <w:rsid w:val="440E35E4"/>
    <w:rsid w:val="48252ECD"/>
    <w:rsid w:val="4BB0778B"/>
    <w:rsid w:val="586F20BA"/>
    <w:rsid w:val="7D343F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16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qFormat/>
    <w:rsid w:val="00875161"/>
    <w:pPr>
      <w:widowControl w:val="0"/>
      <w:autoSpaceDE w:val="0"/>
      <w:autoSpaceDN w:val="0"/>
      <w:adjustRightInd w:val="0"/>
    </w:pPr>
    <w:rPr>
      <w:rFonts w:ascii="宋体" w:eastAsia="宋体" w:hAnsi="宋体" w:hint="eastAsia"/>
      <w:color w:val="000000"/>
      <w:sz w:val="24"/>
    </w:rPr>
  </w:style>
  <w:style w:type="paragraph" w:styleId="a3">
    <w:name w:val="header"/>
    <w:basedOn w:val="a"/>
    <w:link w:val="Char"/>
    <w:rsid w:val="007502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502D2"/>
    <w:rPr>
      <w:kern w:val="2"/>
      <w:sz w:val="18"/>
      <w:szCs w:val="18"/>
    </w:rPr>
  </w:style>
  <w:style w:type="paragraph" w:styleId="a4">
    <w:name w:val="footer"/>
    <w:basedOn w:val="a"/>
    <w:link w:val="Char0"/>
    <w:rsid w:val="007502D2"/>
    <w:pPr>
      <w:tabs>
        <w:tab w:val="center" w:pos="4153"/>
        <w:tab w:val="right" w:pos="8306"/>
      </w:tabs>
      <w:snapToGrid w:val="0"/>
      <w:jc w:val="left"/>
    </w:pPr>
    <w:rPr>
      <w:sz w:val="18"/>
      <w:szCs w:val="18"/>
    </w:rPr>
  </w:style>
  <w:style w:type="character" w:customStyle="1" w:styleId="Char0">
    <w:name w:val="页脚 Char"/>
    <w:basedOn w:val="a0"/>
    <w:link w:val="a4"/>
    <w:rsid w:val="007502D2"/>
    <w:rPr>
      <w:kern w:val="2"/>
      <w:sz w:val="18"/>
      <w:szCs w:val="18"/>
    </w:rPr>
  </w:style>
  <w:style w:type="paragraph" w:styleId="a5">
    <w:name w:val="Balloon Text"/>
    <w:basedOn w:val="a"/>
    <w:link w:val="Char1"/>
    <w:rsid w:val="000A2752"/>
    <w:rPr>
      <w:sz w:val="18"/>
      <w:szCs w:val="18"/>
    </w:rPr>
  </w:style>
  <w:style w:type="character" w:customStyle="1" w:styleId="Char1">
    <w:name w:val="批注框文本 Char"/>
    <w:basedOn w:val="a0"/>
    <w:link w:val="a5"/>
    <w:rsid w:val="000A2752"/>
    <w:rPr>
      <w:kern w:val="2"/>
      <w:sz w:val="18"/>
      <w:szCs w:val="18"/>
    </w:rPr>
  </w:style>
  <w:style w:type="paragraph" w:styleId="a6">
    <w:name w:val="Date"/>
    <w:basedOn w:val="a"/>
    <w:next w:val="a"/>
    <w:link w:val="Char2"/>
    <w:semiHidden/>
    <w:unhideWhenUsed/>
    <w:rsid w:val="00CD3912"/>
    <w:pPr>
      <w:ind w:leftChars="2500" w:left="100"/>
    </w:pPr>
  </w:style>
  <w:style w:type="character" w:customStyle="1" w:styleId="Char2">
    <w:name w:val="日期 Char"/>
    <w:basedOn w:val="a0"/>
    <w:link w:val="a6"/>
    <w:semiHidden/>
    <w:rsid w:val="00CD3912"/>
    <w:rPr>
      <w:kern w:val="2"/>
      <w:sz w:val="21"/>
      <w:szCs w:val="24"/>
    </w:rPr>
  </w:style>
</w:styles>
</file>

<file path=word/webSettings.xml><?xml version="1.0" encoding="utf-8"?>
<w:webSettings xmlns:r="http://schemas.openxmlformats.org/officeDocument/2006/relationships" xmlns:w="http://schemas.openxmlformats.org/wordprocessingml/2006/main">
  <w:divs>
    <w:div w:id="204025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istrator\&#26700;&#38754;\&#32763;&#35793;\2019\4&#26376;\4.30\&#31070;&#28779;&#38109;&#19994;&#20250;&#35758;\&#21097;&#20313;&#32763;&#35793;\&#20135;&#33021;EN%20&#65288;&#26356;&#26032;&#6528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dministrator\&#26700;&#38754;\&#32763;&#35793;\2019\4&#26376;\4.30\&#31070;&#28779;&#38109;&#19994;&#20250;&#35758;\Merry%20&#21097;&#20313;&#32763;&#35793;\&#20135;&#33021;EN.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dministrator\&#26700;&#38754;\&#32763;&#35793;\2019\4&#26376;\4.30\&#31070;&#28779;&#38109;&#19994;&#20250;&#35758;\Merry%20&#21097;&#20313;&#32763;&#35793;\&#20135;&#33021;EN%20(&#33258;&#21160;&#20445;&#23384;&#3034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Administrator\&#26700;&#38754;\&#32763;&#35793;\2019\4&#26376;\4.30\&#31070;&#28779;&#38109;&#19994;&#20250;&#35758;\Merry%20&#21097;&#20313;&#32763;&#35793;\&#20135;&#33021;EN%20(&#33258;&#21160;&#20445;&#23384;&#3034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Administrator\&#26700;&#38754;\&#32763;&#35793;\2019\4&#26376;\4.30\&#31070;&#28779;&#38109;&#19994;&#20250;&#35758;\Merry%20&#21097;&#20313;&#32763;&#35793;\&#20135;&#33021;EN.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200" b="1"/>
            </a:pPr>
            <a:r>
              <a:rPr lang="en-US" sz="1200" b="1"/>
              <a:t>Total primary aluminum capacity in Xinjiang (unit: 10kt)</a:t>
            </a:r>
            <a:endParaRPr lang="zh-CN" sz="1200" b="1"/>
          </a:p>
        </c:rich>
      </c:tx>
      <c:layout>
        <c:manualLayout>
          <c:xMode val="edge"/>
          <c:yMode val="edge"/>
          <c:x val="0.15705654109141304"/>
          <c:y val="2.6836278024052522E-2"/>
        </c:manualLayout>
      </c:layout>
      <c:spPr>
        <a:noFill/>
        <a:ln w="25400">
          <a:noFill/>
        </a:ln>
      </c:spPr>
    </c:title>
    <c:plotArea>
      <c:layout>
        <c:manualLayout>
          <c:layoutTarget val="inner"/>
          <c:xMode val="edge"/>
          <c:yMode val="edge"/>
          <c:x val="0.3334096098596086"/>
          <c:y val="0.21442346067533408"/>
          <c:w val="0.3219346137026815"/>
          <c:h val="0.50012240229080374"/>
        </c:manualLayout>
      </c:layout>
      <c:doughnutChart>
        <c:varyColors val="1"/>
        <c:ser>
          <c:idx val="0"/>
          <c:order val="0"/>
          <c:tx>
            <c:strRef>
              <c:f>Sheet1!$B$3</c:f>
              <c:strCache>
                <c:ptCount val="1"/>
                <c:pt idx="0">
                  <c:v>Capacity (10kt)</c:v>
                </c:pt>
              </c:strCache>
            </c:strRef>
          </c:tx>
          <c:dPt>
            <c:idx val="0"/>
            <c:spPr>
              <a:solidFill>
                <a:srgbClr val="5B9BD5"/>
              </a:solidFill>
              <a:ln w="12700">
                <a:solidFill>
                  <a:srgbClr val="FFFFFF"/>
                </a:solidFill>
                <a:prstDash val="solid"/>
              </a:ln>
            </c:spPr>
          </c:dPt>
          <c:dPt>
            <c:idx val="1"/>
            <c:spPr>
              <a:solidFill>
                <a:srgbClr val="ED7D31"/>
              </a:solidFill>
              <a:ln w="12700">
                <a:solidFill>
                  <a:srgbClr val="FFFFFF"/>
                </a:solidFill>
                <a:prstDash val="solid"/>
              </a:ln>
            </c:spPr>
          </c:dPt>
          <c:dPt>
            <c:idx val="2"/>
            <c:spPr>
              <a:solidFill>
                <a:srgbClr val="A5A5A5"/>
              </a:solidFill>
              <a:ln w="12700">
                <a:solidFill>
                  <a:srgbClr val="FFFFFF"/>
                </a:solidFill>
                <a:prstDash val="solid"/>
              </a:ln>
            </c:spPr>
          </c:dPt>
          <c:dPt>
            <c:idx val="3"/>
            <c:spPr>
              <a:solidFill>
                <a:srgbClr val="FFC000"/>
              </a:solidFill>
              <a:ln w="12700">
                <a:solidFill>
                  <a:srgbClr val="FFFFFF"/>
                </a:solidFill>
                <a:prstDash val="solid"/>
              </a:ln>
            </c:spPr>
          </c:dPt>
          <c:dPt>
            <c:idx val="4"/>
            <c:spPr>
              <a:solidFill>
                <a:srgbClr val="4472C4"/>
              </a:solidFill>
              <a:ln w="12700">
                <a:solidFill>
                  <a:srgbClr val="FFFFFF"/>
                </a:solidFill>
                <a:prstDash val="solid"/>
              </a:ln>
            </c:spPr>
          </c:dPt>
          <c:dPt>
            <c:idx val="5"/>
            <c:spPr>
              <a:solidFill>
                <a:srgbClr val="70AD47"/>
              </a:solidFill>
              <a:ln w="12700">
                <a:solidFill>
                  <a:srgbClr val="FFFFFF"/>
                </a:solidFill>
                <a:prstDash val="solid"/>
              </a:ln>
            </c:spPr>
          </c:dPt>
          <c:dPt>
            <c:idx val="6"/>
            <c:spPr>
              <a:solidFill>
                <a:schemeClr val="accent1">
                  <a:lumMod val="60000"/>
                </a:schemeClr>
              </a:solidFill>
              <a:ln w="19050">
                <a:solidFill>
                  <a:schemeClr val="lt1"/>
                </a:solidFill>
              </a:ln>
              <a:effectLst/>
            </c:spPr>
          </c:dPt>
          <c:dPt>
            <c:idx val="7"/>
            <c:spPr>
              <a:solidFill>
                <a:schemeClr val="accent2">
                  <a:lumMod val="60000"/>
                </a:schemeClr>
              </a:solidFill>
              <a:ln w="19050">
                <a:solidFill>
                  <a:schemeClr val="lt1"/>
                </a:solidFill>
              </a:ln>
              <a:effectLst/>
            </c:spPr>
          </c:dPt>
          <c:dLbls>
            <c:dLbl>
              <c:idx val="0"/>
              <c:layout>
                <c:manualLayout>
                  <c:x val="0.11742203531527895"/>
                  <c:y val="-7.6437025027735559E-3"/>
                </c:manualLayout>
              </c:layout>
              <c:showLegendKey val="1"/>
              <c:showVal val="1"/>
              <c:showCatName val="1"/>
              <c:separator>
</c:separator>
            </c:dLbl>
            <c:dLbl>
              <c:idx val="1"/>
              <c:layout>
                <c:manualLayout>
                  <c:x val="9.6755170518301251E-2"/>
                  <c:y val="2.0095795755373198E-2"/>
                </c:manualLayout>
              </c:layout>
              <c:showLegendKey val="1"/>
              <c:showVal val="1"/>
              <c:showCatName val="1"/>
              <c:separator>
</c:separator>
            </c:dLbl>
            <c:dLbl>
              <c:idx val="2"/>
              <c:layout>
                <c:manualLayout>
                  <c:x val="6.3185366194055056E-2"/>
                  <c:y val="5.7001005530417335E-2"/>
                </c:manualLayout>
              </c:layout>
              <c:showLegendKey val="1"/>
              <c:showVal val="1"/>
              <c:showCatName val="1"/>
              <c:separator>
</c:separator>
            </c:dLbl>
            <c:dLbl>
              <c:idx val="3"/>
              <c:layout>
                <c:manualLayout>
                  <c:x val="-6.5606681415266793E-2"/>
                  <c:y val="4.6945701357466063E-2"/>
                </c:manualLayout>
              </c:layout>
              <c:showLegendKey val="1"/>
              <c:showVal val="1"/>
              <c:showCatName val="1"/>
              <c:separator>
</c:separator>
            </c:dLbl>
            <c:dLbl>
              <c:idx val="4"/>
              <c:layout>
                <c:manualLayout>
                  <c:x val="-7.2176319161146155E-2"/>
                  <c:y val="-4.9019607843137757E-3"/>
                </c:manualLayout>
              </c:layout>
              <c:showLegendKey val="1"/>
              <c:showVal val="1"/>
              <c:showCatName val="1"/>
              <c:separator>
</c:separator>
            </c:dLbl>
            <c:dLbl>
              <c:idx val="5"/>
              <c:layout>
                <c:manualLayout>
                  <c:x val="-0.11525314158881313"/>
                  <c:y val="-2.9237278176049E-2"/>
                </c:manualLayout>
              </c:layout>
              <c:showLegendKey val="1"/>
              <c:showVal val="1"/>
              <c:showCatName val="1"/>
              <c:separator>
</c:separator>
            </c:dLbl>
            <c:dLbl>
              <c:idx val="6"/>
              <c:layout>
                <c:manualLayout>
                  <c:x val="-5.8913335190014432E-2"/>
                  <c:y val="-5.8397774905002836E-2"/>
                </c:manualLayout>
              </c:layout>
              <c:showLegendKey val="1"/>
              <c:showVal val="1"/>
              <c:showCatName val="1"/>
              <c:separator>
</c:separator>
            </c:dLbl>
            <c:dLbl>
              <c:idx val="7"/>
              <c:layout>
                <c:manualLayout>
                  <c:x val="5.2424909908769503E-2"/>
                  <c:y val="-8.9610477794753576E-2"/>
                </c:manualLayout>
              </c:layout>
              <c:showLegendKey val="1"/>
              <c:showVal val="1"/>
              <c:showCatName val="1"/>
              <c:separator>
</c:separator>
            </c:dLbl>
            <c:spPr>
              <a:noFill/>
              <a:ln w="25400">
                <a:noFill/>
              </a:ln>
            </c:spPr>
            <c:txPr>
              <a:bodyPr/>
              <a:lstStyle/>
              <a:p>
                <a:pPr>
                  <a:defRPr sz="1000" b="0"/>
                </a:pPr>
                <a:endParaRPr lang="zh-CN"/>
              </a:p>
            </c:txPr>
            <c:showLegendKey val="1"/>
            <c:showVal val="1"/>
            <c:showCatName val="1"/>
            <c:separator>
</c:separator>
          </c:dLbls>
          <c:cat>
            <c:strRef>
              <c:f>Sheet1!$C$2:$J$2</c:f>
              <c:strCache>
                <c:ptCount val="8"/>
                <c:pt idx="0">
                  <c:v>Jiarun Resource</c:v>
                </c:pt>
                <c:pt idx="1">
                  <c:v>Nongliushi Coal Power</c:v>
                </c:pt>
                <c:pt idx="2">
                  <c:v>East Hope</c:v>
                </c:pt>
                <c:pt idx="3">
                  <c:v>Tianshan Aluminum</c:v>
                </c:pt>
                <c:pt idx="4">
                  <c:v>Xinjiang Shenhuo</c:v>
                </c:pt>
                <c:pt idx="5">
                  <c:v>Xinjiang Qiya</c:v>
                </c:pt>
                <c:pt idx="6">
                  <c:v>Tianlong Mining</c:v>
                </c:pt>
                <c:pt idx="7">
                  <c:v>Xinjiang Jointworld</c:v>
                </c:pt>
              </c:strCache>
            </c:strRef>
          </c:cat>
          <c:val>
            <c:numRef>
              <c:f>Sheet1!$C$3:$J$3</c:f>
              <c:numCache>
                <c:formatCode>General</c:formatCode>
                <c:ptCount val="8"/>
                <c:pt idx="0">
                  <c:v>75</c:v>
                </c:pt>
                <c:pt idx="1">
                  <c:v>190</c:v>
                </c:pt>
                <c:pt idx="2">
                  <c:v>160</c:v>
                </c:pt>
                <c:pt idx="3">
                  <c:v>140</c:v>
                </c:pt>
                <c:pt idx="4">
                  <c:v>80</c:v>
                </c:pt>
                <c:pt idx="5">
                  <c:v>80</c:v>
                </c:pt>
                <c:pt idx="6">
                  <c:v>24</c:v>
                </c:pt>
                <c:pt idx="7">
                  <c:v>18</c:v>
                </c:pt>
              </c:numCache>
            </c:numRef>
          </c:val>
        </c:ser>
        <c:firstSliceAng val="0"/>
        <c:holeSize val="75"/>
      </c:doughnutChart>
      <c:spPr>
        <a:noFill/>
        <a:ln w="25400">
          <a:noFill/>
        </a:ln>
      </c:spPr>
    </c:plotArea>
    <c:legend>
      <c:legendPos val="r"/>
      <c:layout>
        <c:manualLayout>
          <c:xMode val="edge"/>
          <c:yMode val="edge"/>
          <c:x val="0.21828945559637078"/>
          <c:y val="0.79046812359943253"/>
          <c:w val="0.55899782929082764"/>
          <c:h val="0.18911891888187662"/>
        </c:manualLayout>
      </c:layout>
      <c:spPr>
        <a:noFill/>
        <a:ln w="25400">
          <a:noFill/>
        </a:ln>
      </c:spPr>
      <c:txPr>
        <a:bodyPr/>
        <a:lstStyle/>
        <a:p>
          <a:pPr>
            <a:defRPr sz="900"/>
          </a:pPr>
          <a:endParaRPr lang="zh-CN"/>
        </a:p>
      </c:txPr>
    </c:legend>
    <c:plotVisOnly val="1"/>
    <c:dispBlanksAs val="zero"/>
  </c:chart>
  <c:spPr>
    <a:solidFill>
      <a:srgbClr val="FFFFFF"/>
    </a:solidFill>
    <a:ln w="9525" cap="flat" cmpd="sng" algn="ctr">
      <a:solidFill>
        <a:schemeClr val="tx1">
          <a:lumMod val="15000"/>
          <a:lumOff val="85000"/>
        </a:schemeClr>
      </a:solidFill>
      <a:prstDash val="solid"/>
      <a:round/>
    </a:ln>
    <a:effectLst/>
  </c:spPr>
  <c:txPr>
    <a:bodyPr/>
    <a:lstStyle/>
    <a:p>
      <a:pPr>
        <a:defRPr sz="1000" b="0" i="0" u="none" strike="noStrike" baseline="0">
          <a:solidFill>
            <a:srgbClr val="000000"/>
          </a:solidFill>
          <a:latin typeface="+mn-lt"/>
          <a:ea typeface="宋体"/>
          <a:cs typeface="宋体"/>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000" b="0" i="0" u="none" strike="noStrike" baseline="0">
                <a:solidFill>
                  <a:srgbClr val="000000"/>
                </a:solidFill>
                <a:latin typeface="宋体"/>
                <a:ea typeface="宋体"/>
                <a:cs typeface="宋体"/>
              </a:defRPr>
            </a:pPr>
            <a:r>
              <a:rPr lang="en-US" altLang="zh-CN" sz="1100" b="1" i="0" u="none" strike="noStrike" baseline="0">
                <a:solidFill>
                  <a:srgbClr val="333333"/>
                </a:solidFill>
                <a:latin typeface="Arial" pitchFamily="34" charset="0"/>
                <a:ea typeface="宋体"/>
                <a:cs typeface="Arial" pitchFamily="34" charset="0"/>
              </a:rPr>
              <a:t>Actual primary aluminum production capacty in Xinjiang in 2018 (unit: 10kt)</a:t>
            </a:r>
            <a:endParaRPr lang="zh-CN" altLang="en-US" sz="1100" b="1" i="0" u="none" strike="noStrike" baseline="0">
              <a:solidFill>
                <a:srgbClr val="333333"/>
              </a:solidFill>
              <a:latin typeface="Arial" pitchFamily="34" charset="0"/>
              <a:ea typeface="宋体"/>
              <a:cs typeface="Arial" pitchFamily="34" charset="0"/>
            </a:endParaRPr>
          </a:p>
        </c:rich>
      </c:tx>
      <c:layout>
        <c:manualLayout>
          <c:xMode val="edge"/>
          <c:yMode val="edge"/>
          <c:x val="0.12495138441584618"/>
          <c:y val="2.8881200456003717E-2"/>
        </c:manualLayout>
      </c:layout>
      <c:spPr>
        <a:noFill/>
        <a:ln w="25400">
          <a:noFill/>
        </a:ln>
      </c:spPr>
    </c:title>
    <c:plotArea>
      <c:layout>
        <c:manualLayout>
          <c:layoutTarget val="inner"/>
          <c:xMode val="edge"/>
          <c:yMode val="edge"/>
          <c:x val="0.35384135413791146"/>
          <c:y val="0.26979877515310585"/>
          <c:w val="0.28193883944807402"/>
          <c:h val="0.42646809300352673"/>
        </c:manualLayout>
      </c:layout>
      <c:doughnutChart>
        <c:varyColors val="1"/>
        <c:ser>
          <c:idx val="0"/>
          <c:order val="0"/>
          <c:tx>
            <c:strRef>
              <c:f>Sheet1!$B$32</c:f>
              <c:strCache>
                <c:ptCount val="1"/>
                <c:pt idx="0">
                  <c:v>Actual processing capacity (10kt)</c:v>
                </c:pt>
              </c:strCache>
            </c:strRef>
          </c:tx>
          <c:dPt>
            <c:idx val="0"/>
            <c:spPr>
              <a:solidFill>
                <a:srgbClr val="5B9BD5"/>
              </a:solidFill>
              <a:ln w="12700">
                <a:solidFill>
                  <a:srgbClr val="FFFFFF"/>
                </a:solidFill>
                <a:prstDash val="solid"/>
              </a:ln>
            </c:spPr>
          </c:dPt>
          <c:dPt>
            <c:idx val="1"/>
            <c:spPr>
              <a:solidFill>
                <a:srgbClr val="ED7D31"/>
              </a:solidFill>
              <a:ln w="12700">
                <a:solidFill>
                  <a:srgbClr val="FFFFFF"/>
                </a:solidFill>
                <a:prstDash val="solid"/>
              </a:ln>
            </c:spPr>
          </c:dPt>
          <c:dPt>
            <c:idx val="2"/>
            <c:spPr>
              <a:solidFill>
                <a:srgbClr val="A5A5A5"/>
              </a:solidFill>
              <a:ln w="12700">
                <a:solidFill>
                  <a:srgbClr val="FFFFFF"/>
                </a:solidFill>
                <a:prstDash val="solid"/>
              </a:ln>
            </c:spPr>
          </c:dPt>
          <c:dPt>
            <c:idx val="3"/>
            <c:spPr>
              <a:solidFill>
                <a:srgbClr val="FFC000"/>
              </a:solidFill>
              <a:ln w="12700">
                <a:solidFill>
                  <a:srgbClr val="FFFFFF"/>
                </a:solidFill>
                <a:prstDash val="solid"/>
              </a:ln>
            </c:spPr>
          </c:dPt>
          <c:dPt>
            <c:idx val="4"/>
            <c:spPr>
              <a:solidFill>
                <a:srgbClr val="4472C4"/>
              </a:solidFill>
              <a:ln w="12700">
                <a:solidFill>
                  <a:srgbClr val="FFFFFF"/>
                </a:solidFill>
                <a:prstDash val="solid"/>
              </a:ln>
            </c:spPr>
          </c:dPt>
          <c:dPt>
            <c:idx val="5"/>
            <c:spPr>
              <a:solidFill>
                <a:srgbClr val="70AD47"/>
              </a:solidFill>
              <a:ln w="12700">
                <a:solidFill>
                  <a:srgbClr val="FFFFFF"/>
                </a:solidFill>
                <a:prstDash val="solid"/>
              </a:ln>
            </c:spPr>
          </c:dPt>
          <c:dPt>
            <c:idx val="6"/>
            <c:spPr>
              <a:solidFill>
                <a:schemeClr val="accent1">
                  <a:lumMod val="60000"/>
                </a:schemeClr>
              </a:solidFill>
              <a:ln w="19050">
                <a:solidFill>
                  <a:schemeClr val="lt1"/>
                </a:solidFill>
              </a:ln>
              <a:effectLst/>
            </c:spPr>
          </c:dPt>
          <c:dPt>
            <c:idx val="7"/>
            <c:spPr>
              <a:solidFill>
                <a:schemeClr val="accent2">
                  <a:lumMod val="60000"/>
                </a:schemeClr>
              </a:solidFill>
              <a:ln w="19050">
                <a:solidFill>
                  <a:schemeClr val="lt1"/>
                </a:solidFill>
              </a:ln>
              <a:effectLst/>
            </c:spPr>
          </c:dPt>
          <c:dLbls>
            <c:dLbl>
              <c:idx val="0"/>
              <c:layout>
                <c:manualLayout>
                  <c:x val="0.11864847623213766"/>
                  <c:y val="-3.7232782186916225E-2"/>
                </c:manualLayout>
              </c:layout>
              <c:showLegendKey val="1"/>
              <c:showVal val="1"/>
              <c:showCatName val="1"/>
              <c:separator>
</c:separator>
            </c:dLbl>
            <c:dLbl>
              <c:idx val="1"/>
              <c:layout>
                <c:manualLayout>
                  <c:x val="0.12692212304847536"/>
                  <c:y val="5.8438816769525406E-2"/>
                </c:manualLayout>
              </c:layout>
              <c:showLegendKey val="1"/>
              <c:showVal val="1"/>
              <c:showCatName val="1"/>
              <c:separator>
</c:separator>
            </c:dLbl>
            <c:dLbl>
              <c:idx val="2"/>
              <c:layout>
                <c:manualLayout>
                  <c:x val="5.7822822547808371E-2"/>
                  <c:y val="7.1951437515704736E-2"/>
                </c:manualLayout>
              </c:layout>
              <c:showLegendKey val="1"/>
              <c:showVal val="1"/>
              <c:showCatName val="1"/>
              <c:separator>
</c:separator>
            </c:dLbl>
            <c:dLbl>
              <c:idx val="3"/>
              <c:layout>
                <c:manualLayout>
                  <c:x val="-8.3823755253514223E-2"/>
                  <c:y val="5.7491652795308323E-2"/>
                </c:manualLayout>
              </c:layout>
              <c:showLegendKey val="1"/>
              <c:showVal val="1"/>
              <c:showCatName val="1"/>
              <c:separator>
</c:separator>
            </c:dLbl>
            <c:dLbl>
              <c:idx val="4"/>
              <c:layout>
                <c:manualLayout>
                  <c:x val="-0.10226177487413435"/>
                  <c:y val="2.187332644025566E-2"/>
                </c:manualLayout>
              </c:layout>
              <c:showLegendKey val="1"/>
              <c:showVal val="1"/>
              <c:showCatName val="1"/>
              <c:separator>
</c:separator>
            </c:dLbl>
            <c:dLbl>
              <c:idx val="5"/>
              <c:layout>
                <c:manualLayout>
                  <c:x val="-9.5775279917380968E-2"/>
                  <c:y val="-1.4175623051066899E-2"/>
                </c:manualLayout>
              </c:layout>
              <c:showLegendKey val="1"/>
              <c:showVal val="1"/>
              <c:showCatName val="1"/>
              <c:separator>
</c:separator>
            </c:dLbl>
            <c:dLbl>
              <c:idx val="6"/>
              <c:layout>
                <c:manualLayout>
                  <c:x val="-0.10143778637839761"/>
                  <c:y val="-7.6043624317952682E-2"/>
                </c:manualLayout>
              </c:layout>
              <c:showLegendKey val="1"/>
              <c:showVal val="1"/>
              <c:showCatName val="1"/>
              <c:separator>
</c:separator>
            </c:dLbl>
            <c:dLbl>
              <c:idx val="7"/>
              <c:layout>
                <c:manualLayout>
                  <c:x val="2.0123522695256309E-2"/>
                  <c:y val="-0.11007753801767145"/>
                </c:manualLayout>
              </c:layout>
              <c:showLegendKey val="1"/>
              <c:showVal val="1"/>
              <c:showCatName val="1"/>
              <c:separator>
</c:separator>
            </c:dLbl>
            <c:spPr>
              <a:noFill/>
              <a:ln w="25400">
                <a:noFill/>
              </a:ln>
            </c:spPr>
            <c:txPr>
              <a:bodyPr/>
              <a:lstStyle/>
              <a:p>
                <a:pPr>
                  <a:defRPr sz="1050" b="0" i="0" u="none" strike="noStrike" baseline="0">
                    <a:solidFill>
                      <a:srgbClr val="333333"/>
                    </a:solidFill>
                    <a:latin typeface="+mn-lt"/>
                    <a:ea typeface="宋体"/>
                    <a:cs typeface="宋体"/>
                  </a:defRPr>
                </a:pPr>
                <a:endParaRPr lang="zh-CN"/>
              </a:p>
            </c:txPr>
            <c:showLegendKey val="1"/>
            <c:showVal val="1"/>
            <c:showCatName val="1"/>
            <c:separator>
</c:separator>
          </c:dLbls>
          <c:cat>
            <c:strRef>
              <c:f>Sheet1!$C$31:$J$31</c:f>
              <c:strCache>
                <c:ptCount val="8"/>
                <c:pt idx="0">
                  <c:v>Jiarun Resource</c:v>
                </c:pt>
                <c:pt idx="1">
                  <c:v>Nongliushi Coal Power</c:v>
                </c:pt>
                <c:pt idx="2">
                  <c:v>East Hope</c:v>
                </c:pt>
                <c:pt idx="3">
                  <c:v>Tianshan Aluminum</c:v>
                </c:pt>
                <c:pt idx="4">
                  <c:v>Xinjiang Shenhuo</c:v>
                </c:pt>
                <c:pt idx="5">
                  <c:v>Xinjiang Qiya</c:v>
                </c:pt>
                <c:pt idx="6">
                  <c:v>Tianlong Mining</c:v>
                </c:pt>
                <c:pt idx="7">
                  <c:v>Xinjiang Jointworld</c:v>
                </c:pt>
              </c:strCache>
            </c:strRef>
          </c:cat>
          <c:val>
            <c:numRef>
              <c:f>Sheet1!$C$32:$J$32</c:f>
              <c:numCache>
                <c:formatCode>General</c:formatCode>
                <c:ptCount val="8"/>
                <c:pt idx="0">
                  <c:v>44</c:v>
                </c:pt>
                <c:pt idx="1">
                  <c:v>170</c:v>
                </c:pt>
                <c:pt idx="2">
                  <c:v>90</c:v>
                </c:pt>
                <c:pt idx="3">
                  <c:v>120</c:v>
                </c:pt>
                <c:pt idx="4">
                  <c:v>80</c:v>
                </c:pt>
                <c:pt idx="5">
                  <c:v>80</c:v>
                </c:pt>
                <c:pt idx="6">
                  <c:v>24.5</c:v>
                </c:pt>
                <c:pt idx="7">
                  <c:v>18</c:v>
                </c:pt>
              </c:numCache>
            </c:numRef>
          </c:val>
        </c:ser>
        <c:firstSliceAng val="0"/>
        <c:holeSize val="75"/>
      </c:doughnutChart>
      <c:spPr>
        <a:noFill/>
        <a:ln w="25400">
          <a:noFill/>
        </a:ln>
      </c:spPr>
    </c:plotArea>
    <c:legend>
      <c:legendPos val="r"/>
      <c:layout>
        <c:manualLayout>
          <c:xMode val="edge"/>
          <c:yMode val="edge"/>
          <c:x val="0.22788199054417041"/>
          <c:y val="0.80500145815106461"/>
          <c:w val="0.5348525469168901"/>
          <c:h val="0.17931334340783237"/>
        </c:manualLayout>
      </c:layout>
      <c:spPr>
        <a:noFill/>
        <a:ln w="25400">
          <a:noFill/>
        </a:ln>
      </c:spPr>
      <c:txPr>
        <a:bodyPr/>
        <a:lstStyle/>
        <a:p>
          <a:pPr>
            <a:defRPr sz="1050" b="0" i="0" u="none" strike="noStrike" baseline="0">
              <a:solidFill>
                <a:srgbClr val="333333"/>
              </a:solidFill>
              <a:latin typeface="+mn-lt"/>
              <a:ea typeface="宋体"/>
              <a:cs typeface="宋体"/>
            </a:defRPr>
          </a:pPr>
          <a:endParaRPr lang="zh-CN"/>
        </a:p>
      </c:txPr>
    </c:legend>
    <c:plotVisOnly val="1"/>
    <c:dispBlanksAs val="zero"/>
  </c:chart>
  <c:spPr>
    <a:solidFill>
      <a:srgbClr val="FFFFFF"/>
    </a:solidFill>
    <a:ln w="9525" cap="flat" cmpd="sng" algn="ctr">
      <a:solidFill>
        <a:schemeClr val="tx1">
          <a:lumMod val="15000"/>
          <a:lumOff val="85000"/>
        </a:schemeClr>
      </a:solidFill>
      <a:prstDash val="solid"/>
      <a:round/>
    </a:ln>
    <a:effectLst/>
  </c:spPr>
  <c:txPr>
    <a:bodyPr/>
    <a:lstStyle/>
    <a:p>
      <a:pPr>
        <a:defRPr sz="1000" b="0" i="0" u="none" strike="noStrike" baseline="0">
          <a:solidFill>
            <a:srgbClr val="000000"/>
          </a:solidFill>
          <a:latin typeface="宋体"/>
          <a:ea typeface="宋体"/>
          <a:cs typeface="宋体"/>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600"/>
            </a:pPr>
            <a:r>
              <a:rPr lang="en-US" altLang="en-US" sz="1600"/>
              <a:t>Actual pet coke capacity in Xinjiang in 2018 (10kt)</a:t>
            </a:r>
          </a:p>
        </c:rich>
      </c:tx>
      <c:layout>
        <c:manualLayout>
          <c:xMode val="edge"/>
          <c:yMode val="edge"/>
          <c:x val="0.11467475102197618"/>
          <c:y val="4.1548630783758263E-2"/>
        </c:manualLayout>
      </c:layout>
    </c:title>
    <c:plotArea>
      <c:layout>
        <c:manualLayout>
          <c:layoutTarget val="inner"/>
          <c:xMode val="edge"/>
          <c:yMode val="edge"/>
          <c:x val="0.21538515002697844"/>
          <c:y val="0.1893737220524489"/>
          <c:w val="0.45683832203901342"/>
          <c:h val="0.74284758314559385"/>
        </c:manualLayout>
      </c:layout>
      <c:doughnutChart>
        <c:varyColors val="1"/>
        <c:ser>
          <c:idx val="0"/>
          <c:order val="0"/>
          <c:tx>
            <c:strRef>
              <c:f>Sheet1!$B$91</c:f>
              <c:strCache>
                <c:ptCount val="1"/>
                <c:pt idx="0">
                  <c:v>Actual pet coke capacity in Xinjiang in 2018 (10kt)</c:v>
                </c:pt>
              </c:strCache>
            </c:strRef>
          </c:tx>
          <c:explosion val="1"/>
          <c:dLbls>
            <c:dLbl>
              <c:idx val="0"/>
              <c:layout>
                <c:manualLayout>
                  <c:x val="0"/>
                  <c:y val="7.8035288081907735E-3"/>
                </c:manualLayout>
              </c:layout>
              <c:tx>
                <c:rich>
                  <a:bodyPr/>
                  <a:lstStyle/>
                  <a:p>
                    <a:r>
                      <a:rPr lang="en-US" altLang="en-US" sz="1050" b="0"/>
                      <a:t>CNPC Urumqi</a:t>
                    </a:r>
                  </a:p>
                  <a:p>
                    <a:r>
                      <a:rPr lang="en-US" altLang="en-US" sz="1050" b="0"/>
                      <a:t> 32.9</a:t>
                    </a:r>
                  </a:p>
                </c:rich>
              </c:tx>
              <c:showVal val="1"/>
              <c:showCatName val="1"/>
            </c:dLbl>
            <c:dLbl>
              <c:idx val="1"/>
              <c:layout>
                <c:manualLayout>
                  <c:x val="2.090592334494774E-2"/>
                  <c:y val="-9.1418884254199102E-3"/>
                </c:manualLayout>
              </c:layout>
              <c:tx>
                <c:rich>
                  <a:bodyPr/>
                  <a:lstStyle/>
                  <a:p>
                    <a:r>
                      <a:rPr lang="en-US" altLang="en-US" sz="1050" b="0"/>
                      <a:t>CNPC Karamay</a:t>
                    </a:r>
                    <a:r>
                      <a:rPr lang="en-US" altLang="en-US" sz="1050" b="0" baseline="0"/>
                      <a:t> </a:t>
                    </a:r>
                  </a:p>
                  <a:p>
                    <a:r>
                      <a:rPr lang="en-US" altLang="en-US" sz="1050" b="0"/>
                      <a:t>23.2</a:t>
                    </a:r>
                  </a:p>
                </c:rich>
              </c:tx>
              <c:showVal val="1"/>
              <c:showCatName val="1"/>
            </c:dLbl>
            <c:dLbl>
              <c:idx val="2"/>
              <c:layout>
                <c:manualLayout>
                  <c:x val="-4.6457607433217319E-3"/>
                  <c:y val="1.0714609682288321E-2"/>
                </c:manualLayout>
              </c:layout>
              <c:tx>
                <c:rich>
                  <a:bodyPr/>
                  <a:lstStyle/>
                  <a:p>
                    <a:r>
                      <a:rPr lang="en-US" altLang="en-US" sz="1050" b="0"/>
                      <a:t>CNPC Dushanzi</a:t>
                    </a:r>
                    <a:r>
                      <a:rPr lang="en-US" altLang="en-US" sz="1050" b="0" baseline="0"/>
                      <a:t> </a:t>
                    </a:r>
                    <a:r>
                      <a:rPr lang="en-US" altLang="en-US" sz="1050" b="0"/>
                      <a:t>26.4</a:t>
                    </a:r>
                  </a:p>
                </c:rich>
              </c:tx>
              <c:showVal val="1"/>
              <c:showCatName val="1"/>
            </c:dLbl>
            <c:dLbl>
              <c:idx val="3"/>
              <c:layout>
                <c:manualLayout>
                  <c:x val="2.3228803716608595E-3"/>
                  <c:y val="-4.1548630783758263E-2"/>
                </c:manualLayout>
              </c:layout>
              <c:tx>
                <c:rich>
                  <a:bodyPr/>
                  <a:lstStyle/>
                  <a:p>
                    <a:r>
                      <a:rPr lang="en-US" altLang="en-US" sz="1050" b="0"/>
                      <a:t>CNPC Tahe</a:t>
                    </a:r>
                  </a:p>
                  <a:p>
                    <a:r>
                      <a:rPr lang="en-US" altLang="en-US" sz="1050" b="0"/>
                      <a:t>99.55</a:t>
                    </a:r>
                  </a:p>
                </c:rich>
              </c:tx>
              <c:showVal val="1"/>
              <c:showCatName val="1"/>
            </c:dLbl>
            <c:txPr>
              <a:bodyPr/>
              <a:lstStyle/>
              <a:p>
                <a:pPr>
                  <a:defRPr sz="1050" b="0"/>
                </a:pPr>
                <a:endParaRPr lang="zh-CN"/>
              </a:p>
            </c:txPr>
            <c:showVal val="1"/>
            <c:showSerName val="1"/>
            <c:showLeaderLines val="1"/>
          </c:dLbls>
          <c:cat>
            <c:strRef>
              <c:f>Sheet1!$C$90:$F$90</c:f>
              <c:strCache>
                <c:ptCount val="4"/>
                <c:pt idx="0">
                  <c:v>CNPC Urumqi</c:v>
                </c:pt>
                <c:pt idx="1">
                  <c:v>CNPC Karamay</c:v>
                </c:pt>
                <c:pt idx="2">
                  <c:v>CNPC Dushanzi</c:v>
                </c:pt>
                <c:pt idx="3">
                  <c:v>CNPC Tahe</c:v>
                </c:pt>
              </c:strCache>
            </c:strRef>
          </c:cat>
          <c:val>
            <c:numRef>
              <c:f>Sheet1!$C$91:$F$91</c:f>
              <c:numCache>
                <c:formatCode>General</c:formatCode>
                <c:ptCount val="4"/>
                <c:pt idx="0">
                  <c:v>32.9</c:v>
                </c:pt>
                <c:pt idx="1">
                  <c:v>23.2</c:v>
                </c:pt>
                <c:pt idx="2">
                  <c:v>26.4</c:v>
                </c:pt>
                <c:pt idx="3">
                  <c:v>99.55</c:v>
                </c:pt>
              </c:numCache>
            </c:numRef>
          </c:val>
        </c:ser>
        <c:dLbls>
          <c:showPercent val="1"/>
        </c:dLbls>
        <c:firstSliceAng val="0"/>
        <c:holeSize val="50"/>
      </c:doughnutChart>
    </c:plotArea>
    <c:legend>
      <c:legendPos val="r"/>
      <c:txPr>
        <a:bodyPr/>
        <a:lstStyle/>
        <a:p>
          <a:pPr>
            <a:defRPr sz="1050" b="0"/>
          </a:pPr>
          <a:endParaRPr lang="zh-CN"/>
        </a:p>
      </c:txPr>
    </c:legend>
    <c:plotVisOnly val="1"/>
  </c:chart>
  <c:spPr>
    <a:solidFill>
      <a:srgbClr val="FFFFFF"/>
    </a:solidFill>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600"/>
            </a:pPr>
            <a:r>
              <a:rPr lang="en-US" altLang="en-US" sz="1600"/>
              <a:t>Pet coke consumption in Xinjiang in 2018 (%)</a:t>
            </a:r>
          </a:p>
        </c:rich>
      </c:tx>
      <c:layout>
        <c:manualLayout>
          <c:xMode val="edge"/>
          <c:yMode val="edge"/>
          <c:x val="0.14338555241570414"/>
          <c:y val="4.9523809523809526E-2"/>
        </c:manualLayout>
      </c:layout>
    </c:title>
    <c:plotArea>
      <c:layout>
        <c:manualLayout>
          <c:layoutTarget val="inner"/>
          <c:xMode val="edge"/>
          <c:yMode val="edge"/>
          <c:x val="0.10693985126859162"/>
          <c:y val="0.24602107028288134"/>
          <c:w val="0.3935247156605447"/>
          <c:h val="0.65587452610090602"/>
        </c:manualLayout>
      </c:layout>
      <c:pieChart>
        <c:varyColors val="1"/>
        <c:ser>
          <c:idx val="0"/>
          <c:order val="0"/>
          <c:tx>
            <c:strRef>
              <c:f>Sheet1!$B$121</c:f>
              <c:strCache>
                <c:ptCount val="1"/>
                <c:pt idx="0">
                  <c:v>Pet coke consumption in Xinjiang in 2018 (%)</c:v>
                </c:pt>
              </c:strCache>
            </c:strRef>
          </c:tx>
          <c:dLbls>
            <c:txPr>
              <a:bodyPr/>
              <a:lstStyle/>
              <a:p>
                <a:pPr>
                  <a:defRPr sz="1200"/>
                </a:pPr>
                <a:endParaRPr lang="zh-CN"/>
              </a:p>
            </c:txPr>
            <c:showPercent val="1"/>
          </c:dLbls>
          <c:cat>
            <c:strRef>
              <c:f>Sheet1!$C$120:$D$120</c:f>
              <c:strCache>
                <c:ptCount val="2"/>
                <c:pt idx="0">
                  <c:v>Pet coke output in Xinjiang</c:v>
                </c:pt>
                <c:pt idx="1">
                  <c:v>Pet coke output outside Xinjiang, imports</c:v>
                </c:pt>
              </c:strCache>
            </c:strRef>
          </c:cat>
          <c:val>
            <c:numRef>
              <c:f>Sheet1!$C$121:$D$121</c:f>
              <c:numCache>
                <c:formatCode>General</c:formatCode>
                <c:ptCount val="2"/>
                <c:pt idx="0">
                  <c:v>74</c:v>
                </c:pt>
                <c:pt idx="1">
                  <c:v>26</c:v>
                </c:pt>
              </c:numCache>
            </c:numRef>
          </c:val>
        </c:ser>
        <c:dLbls>
          <c:showPercent val="1"/>
        </c:dLbls>
        <c:firstSliceAng val="0"/>
      </c:pieChart>
    </c:plotArea>
    <c:legend>
      <c:legendPos val="r"/>
      <c:layout>
        <c:manualLayout>
          <c:xMode val="edge"/>
          <c:yMode val="edge"/>
          <c:x val="0.54073753280839965"/>
          <c:y val="0.4180978419364248"/>
          <c:w val="0.44259580052493425"/>
          <c:h val="0.26079469233012526"/>
        </c:manualLayout>
      </c:layout>
      <c:txPr>
        <a:bodyPr/>
        <a:lstStyle/>
        <a:p>
          <a:pPr>
            <a:defRPr sz="1200"/>
          </a:pPr>
          <a:endParaRPr lang="zh-CN"/>
        </a:p>
      </c:txPr>
    </c:legend>
    <c:plotVisOnly val="1"/>
  </c:chart>
  <c:spPr>
    <a:solidFill>
      <a:srgbClr val="FFFFFF"/>
    </a:solidFill>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400" b="0" i="0" u="none" strike="noStrike" baseline="0">
                <a:solidFill>
                  <a:srgbClr val="000000"/>
                </a:solidFill>
                <a:latin typeface="宋体"/>
                <a:ea typeface="宋体"/>
                <a:cs typeface="宋体"/>
              </a:defRPr>
            </a:pPr>
            <a:r>
              <a:rPr lang="en-US" altLang="zh-CN" sz="1400" b="1" i="0" u="none" strike="noStrike" baseline="0">
                <a:solidFill>
                  <a:srgbClr val="000000"/>
                </a:solidFill>
                <a:latin typeface="Arial" pitchFamily="34" charset="0"/>
                <a:ea typeface="宋体"/>
                <a:cs typeface="Arial" pitchFamily="34" charset="0"/>
              </a:rPr>
              <a:t>Anode production in Xinjiang in 2018 (10kt)</a:t>
            </a:r>
            <a:endParaRPr lang="zh-CN" altLang="en-US" sz="1400" b="1" i="0" u="none" strike="noStrike" baseline="0">
              <a:solidFill>
                <a:srgbClr val="000000"/>
              </a:solidFill>
              <a:latin typeface="Arial" pitchFamily="34" charset="0"/>
              <a:ea typeface="宋体"/>
              <a:cs typeface="Arial" pitchFamily="34" charset="0"/>
            </a:endParaRPr>
          </a:p>
        </c:rich>
      </c:tx>
      <c:spPr>
        <a:noFill/>
        <a:ln w="25400">
          <a:noFill/>
        </a:ln>
      </c:spPr>
    </c:title>
    <c:plotArea>
      <c:layout>
        <c:manualLayout>
          <c:layoutTarget val="inner"/>
          <c:xMode val="edge"/>
          <c:yMode val="edge"/>
          <c:x val="0.36547474834876542"/>
          <c:y val="0.20778294573643494"/>
          <c:w val="0.29935042878998536"/>
          <c:h val="0.52073051333699572"/>
        </c:manualLayout>
      </c:layout>
      <c:doughnutChart>
        <c:varyColors val="1"/>
        <c:ser>
          <c:idx val="0"/>
          <c:order val="0"/>
          <c:tx>
            <c:strRef>
              <c:f>Sheet1!$B$60</c:f>
              <c:strCache>
                <c:ptCount val="1"/>
                <c:pt idx="0">
                  <c:v>Anode processing capacity (10kt)</c:v>
                </c:pt>
              </c:strCache>
            </c:strRef>
          </c:tx>
          <c:dPt>
            <c:idx val="0"/>
            <c:spPr>
              <a:solidFill>
                <a:srgbClr val="5B9BD5"/>
              </a:solidFill>
              <a:ln w="12700">
                <a:solidFill>
                  <a:srgbClr val="FFFFFF"/>
                </a:solidFill>
                <a:prstDash val="solid"/>
              </a:ln>
            </c:spPr>
          </c:dPt>
          <c:dPt>
            <c:idx val="1"/>
            <c:spPr>
              <a:solidFill>
                <a:srgbClr val="ED7D31"/>
              </a:solidFill>
              <a:ln w="12700">
                <a:solidFill>
                  <a:srgbClr val="FFFFFF"/>
                </a:solidFill>
                <a:prstDash val="solid"/>
              </a:ln>
            </c:spPr>
          </c:dPt>
          <c:dPt>
            <c:idx val="2"/>
            <c:spPr>
              <a:solidFill>
                <a:srgbClr val="A5A5A5"/>
              </a:solidFill>
              <a:ln w="12700">
                <a:solidFill>
                  <a:srgbClr val="FFFFFF"/>
                </a:solidFill>
                <a:prstDash val="solid"/>
              </a:ln>
            </c:spPr>
          </c:dPt>
          <c:dPt>
            <c:idx val="3"/>
            <c:spPr>
              <a:solidFill>
                <a:srgbClr val="FFC000"/>
              </a:solidFill>
              <a:ln w="12700">
                <a:solidFill>
                  <a:srgbClr val="FFFFFF"/>
                </a:solidFill>
                <a:prstDash val="solid"/>
              </a:ln>
            </c:spPr>
          </c:dPt>
          <c:dPt>
            <c:idx val="4"/>
            <c:spPr>
              <a:solidFill>
                <a:srgbClr val="4472C4"/>
              </a:solidFill>
              <a:ln w="12700">
                <a:solidFill>
                  <a:srgbClr val="FFFFFF"/>
                </a:solidFill>
                <a:prstDash val="solid"/>
              </a:ln>
            </c:spPr>
          </c:dPt>
          <c:dPt>
            <c:idx val="5"/>
            <c:spPr>
              <a:solidFill>
                <a:srgbClr val="70AD47"/>
              </a:solidFill>
              <a:ln w="12700">
                <a:solidFill>
                  <a:srgbClr val="FFFFFF"/>
                </a:solidFill>
                <a:prstDash val="solid"/>
              </a:ln>
            </c:spPr>
          </c:dPt>
          <c:dLbls>
            <c:dLbl>
              <c:idx val="0"/>
              <c:layout>
                <c:manualLayout>
                  <c:x val="0.12614476075105988"/>
                  <c:y val="-1.7861685893914441E-2"/>
                </c:manualLayout>
              </c:layout>
              <c:showLegendKey val="1"/>
              <c:showVal val="1"/>
              <c:showCatName val="1"/>
              <c:separator>
</c:separator>
            </c:dLbl>
            <c:dLbl>
              <c:idx val="1"/>
              <c:layout>
                <c:manualLayout>
                  <c:x val="9.375000000000043E-2"/>
                  <c:y val="6.25E-2"/>
                </c:manualLayout>
              </c:layout>
              <c:showLegendKey val="1"/>
              <c:showVal val="1"/>
              <c:showCatName val="1"/>
              <c:separator>
</c:separator>
            </c:dLbl>
            <c:dLbl>
              <c:idx val="2"/>
              <c:layout>
                <c:manualLayout>
                  <c:x val="-6.4949669752819364E-2"/>
                  <c:y val="8.3462613684917239E-2"/>
                </c:manualLayout>
              </c:layout>
              <c:showLegendKey val="1"/>
              <c:showVal val="1"/>
              <c:showCatName val="1"/>
              <c:separator>
</c:separator>
            </c:dLbl>
            <c:dLbl>
              <c:idx val="3"/>
              <c:layout>
                <c:manualLayout>
                  <c:x val="-0.10416666666666695"/>
                  <c:y val="0"/>
                </c:manualLayout>
              </c:layout>
              <c:showLegendKey val="1"/>
              <c:showVal val="1"/>
              <c:showCatName val="1"/>
              <c:separator>
</c:separator>
            </c:dLbl>
            <c:dLbl>
              <c:idx val="4"/>
              <c:layout>
                <c:manualLayout>
                  <c:x val="-0.1"/>
                  <c:y val="-5.5555555555555455E-2"/>
                </c:manualLayout>
              </c:layout>
              <c:showLegendKey val="1"/>
              <c:showVal val="1"/>
              <c:showCatName val="1"/>
              <c:separator>
</c:separator>
            </c:dLbl>
            <c:dLbl>
              <c:idx val="5"/>
              <c:layout>
                <c:manualLayout>
                  <c:x val="2.2916666666666672E-2"/>
                  <c:y val="-9.0277777777777693E-2"/>
                </c:manualLayout>
              </c:layout>
              <c:showLegendKey val="1"/>
              <c:showVal val="1"/>
              <c:showCatName val="1"/>
              <c:separator>
</c:separator>
            </c:dLbl>
            <c:spPr>
              <a:noFill/>
              <a:ln w="25400">
                <a:noFill/>
              </a:ln>
            </c:spPr>
            <c:txPr>
              <a:bodyPr/>
              <a:lstStyle/>
              <a:p>
                <a:pPr>
                  <a:defRPr sz="1050" b="0" i="0" u="none" strike="noStrike" baseline="0">
                    <a:solidFill>
                      <a:srgbClr val="000000"/>
                    </a:solidFill>
                    <a:latin typeface="+mn-lt"/>
                    <a:ea typeface="宋体"/>
                    <a:cs typeface="宋体"/>
                  </a:defRPr>
                </a:pPr>
                <a:endParaRPr lang="zh-CN"/>
              </a:p>
            </c:txPr>
            <c:showLegendKey val="1"/>
            <c:showVal val="1"/>
            <c:showCatName val="1"/>
            <c:separator>
</c:separator>
          </c:dLbls>
          <c:cat>
            <c:strRef>
              <c:f>Sheet1!$C$59:$H$59</c:f>
              <c:strCache>
                <c:ptCount val="6"/>
                <c:pt idx="0">
                  <c:v>Nongliushi Coal Power</c:v>
                </c:pt>
                <c:pt idx="1">
                  <c:v>East Hope</c:v>
                </c:pt>
                <c:pt idx="2">
                  <c:v>Tianshan Aluminum</c:v>
                </c:pt>
                <c:pt idx="3">
                  <c:v>Xinjiang Shenhuo</c:v>
                </c:pt>
                <c:pt idx="4">
                  <c:v>Xinjiang Qiya</c:v>
                </c:pt>
                <c:pt idx="5">
                  <c:v>Tianlong Mining</c:v>
                </c:pt>
              </c:strCache>
            </c:strRef>
          </c:cat>
          <c:val>
            <c:numRef>
              <c:f>Sheet1!$C$60:$H$60</c:f>
              <c:numCache>
                <c:formatCode>General</c:formatCode>
                <c:ptCount val="6"/>
                <c:pt idx="0">
                  <c:v>92.4</c:v>
                </c:pt>
                <c:pt idx="1">
                  <c:v>60.849999999999994</c:v>
                </c:pt>
                <c:pt idx="2">
                  <c:v>30.6</c:v>
                </c:pt>
                <c:pt idx="3">
                  <c:v>48.8</c:v>
                </c:pt>
                <c:pt idx="4">
                  <c:v>41.1</c:v>
                </c:pt>
                <c:pt idx="5">
                  <c:v>12.02</c:v>
                </c:pt>
              </c:numCache>
            </c:numRef>
          </c:val>
        </c:ser>
        <c:firstSliceAng val="0"/>
        <c:holeSize val="75"/>
      </c:doughnutChart>
      <c:spPr>
        <a:noFill/>
        <a:ln w="25400">
          <a:noFill/>
        </a:ln>
      </c:spPr>
    </c:plotArea>
    <c:legend>
      <c:legendPos val="r"/>
      <c:legendEntry>
        <c:idx val="0"/>
        <c:txPr>
          <a:bodyPr/>
          <a:lstStyle/>
          <a:p>
            <a:pPr>
              <a:defRPr sz="1050" b="0" i="0" u="none" strike="noStrike" baseline="0">
                <a:solidFill>
                  <a:srgbClr val="000000"/>
                </a:solidFill>
                <a:latin typeface="+mn-lt"/>
                <a:ea typeface="宋体"/>
                <a:cs typeface="宋体"/>
              </a:defRPr>
            </a:pPr>
            <a:endParaRPr lang="zh-CN"/>
          </a:p>
        </c:txPr>
      </c:legendEntry>
      <c:legendEntry>
        <c:idx val="1"/>
        <c:txPr>
          <a:bodyPr/>
          <a:lstStyle/>
          <a:p>
            <a:pPr>
              <a:defRPr sz="1050" b="0" i="0" u="none" strike="noStrike" baseline="0">
                <a:solidFill>
                  <a:srgbClr val="000000"/>
                </a:solidFill>
                <a:latin typeface="+mn-lt"/>
                <a:ea typeface="宋体"/>
                <a:cs typeface="宋体"/>
              </a:defRPr>
            </a:pPr>
            <a:endParaRPr lang="zh-CN"/>
          </a:p>
        </c:txPr>
      </c:legendEntry>
      <c:legendEntry>
        <c:idx val="2"/>
        <c:txPr>
          <a:bodyPr/>
          <a:lstStyle/>
          <a:p>
            <a:pPr>
              <a:defRPr sz="1050" b="0" i="0" u="none" strike="noStrike" baseline="0">
                <a:solidFill>
                  <a:srgbClr val="000000"/>
                </a:solidFill>
                <a:latin typeface="+mn-lt"/>
                <a:ea typeface="宋体"/>
                <a:cs typeface="宋体"/>
              </a:defRPr>
            </a:pPr>
            <a:endParaRPr lang="zh-CN"/>
          </a:p>
        </c:txPr>
      </c:legendEntry>
      <c:legendEntry>
        <c:idx val="3"/>
        <c:txPr>
          <a:bodyPr/>
          <a:lstStyle/>
          <a:p>
            <a:pPr>
              <a:defRPr sz="1050" b="0" i="0" u="none" strike="noStrike" baseline="0">
                <a:solidFill>
                  <a:srgbClr val="000000"/>
                </a:solidFill>
                <a:latin typeface="+mn-lt"/>
                <a:ea typeface="宋体"/>
                <a:cs typeface="宋体"/>
              </a:defRPr>
            </a:pPr>
            <a:endParaRPr lang="zh-CN"/>
          </a:p>
        </c:txPr>
      </c:legendEntry>
      <c:legendEntry>
        <c:idx val="4"/>
        <c:txPr>
          <a:bodyPr/>
          <a:lstStyle/>
          <a:p>
            <a:pPr>
              <a:defRPr sz="1050" b="0" i="0" u="none" strike="noStrike" baseline="0">
                <a:solidFill>
                  <a:srgbClr val="000000"/>
                </a:solidFill>
                <a:latin typeface="+mn-lt"/>
                <a:ea typeface="宋体"/>
                <a:cs typeface="宋体"/>
              </a:defRPr>
            </a:pPr>
            <a:endParaRPr lang="zh-CN"/>
          </a:p>
        </c:txPr>
      </c:legendEntry>
      <c:legendEntry>
        <c:idx val="5"/>
        <c:txPr>
          <a:bodyPr/>
          <a:lstStyle/>
          <a:p>
            <a:pPr>
              <a:defRPr sz="1050" b="0" i="0" u="none" strike="noStrike" baseline="0">
                <a:solidFill>
                  <a:srgbClr val="000000"/>
                </a:solidFill>
                <a:latin typeface="+mn-lt"/>
                <a:ea typeface="宋体"/>
                <a:cs typeface="宋体"/>
              </a:defRPr>
            </a:pPr>
            <a:endParaRPr lang="zh-CN"/>
          </a:p>
        </c:txPr>
      </c:legendEntry>
      <c:layout>
        <c:manualLayout>
          <c:xMode val="edge"/>
          <c:yMode val="edge"/>
          <c:x val="0.1008017771325964"/>
          <c:y val="0.81668988228846784"/>
          <c:w val="0.82754064715585773"/>
          <c:h val="0.13945333577488891"/>
        </c:manualLayout>
      </c:layout>
      <c:spPr>
        <a:noFill/>
        <a:ln w="25400">
          <a:noFill/>
        </a:ln>
      </c:spPr>
      <c:txPr>
        <a:bodyPr/>
        <a:lstStyle/>
        <a:p>
          <a:pPr>
            <a:defRPr sz="1050" b="0" i="0" u="none" strike="noStrike" baseline="0">
              <a:solidFill>
                <a:srgbClr val="000000"/>
              </a:solidFill>
              <a:latin typeface="+mn-lt"/>
              <a:ea typeface="宋体"/>
              <a:cs typeface="宋体"/>
            </a:defRPr>
          </a:pPr>
          <a:endParaRPr lang="zh-CN"/>
        </a:p>
      </c:txPr>
    </c:legend>
    <c:plotVisOnly val="1"/>
    <c:dispBlanksAs val="zero"/>
  </c:chart>
  <c:spPr>
    <a:solidFill>
      <a:srgbClr val="FFFFFF"/>
    </a:solidFill>
    <a:ln w="9525" cap="flat" cmpd="sng" algn="ctr">
      <a:solidFill>
        <a:schemeClr val="tx1">
          <a:lumMod val="15000"/>
          <a:lumOff val="85000"/>
        </a:schemeClr>
      </a:solidFill>
      <a:round/>
    </a:ln>
    <a:effectLst/>
  </c:spPr>
  <c:txPr>
    <a:bodyPr/>
    <a:lstStyle/>
    <a:p>
      <a:pPr>
        <a:defRPr sz="900" b="0" i="0" u="none" strike="noStrike" baseline="0">
          <a:solidFill>
            <a:srgbClr val="000000"/>
          </a:solidFill>
          <a:latin typeface="宋体"/>
          <a:ea typeface="宋体"/>
          <a:cs typeface="宋体"/>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859</Words>
  <Characters>4900</Characters>
  <Application>Microsoft Office Word</Application>
  <DocSecurity>0</DocSecurity>
  <Lines>40</Lines>
  <Paragraphs>11</Paragraphs>
  <ScaleCrop>false</ScaleCrop>
  <Company/>
  <LinksUpToDate>false</LinksUpToDate>
  <CharactersWithSpaces>5748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朱甲</dc:creator>
  <cp:lastModifiedBy>Friday</cp:lastModifiedBy>
  <cp:revision>6</cp:revision>
  <cp:lastPrinted>2019-03-18T09:07:00Z</cp:lastPrinted>
  <dcterms:created xsi:type="dcterms:W3CDTF">2019-04-30T09:23:00Z</dcterms:created>
  <dcterms:modified xsi:type="dcterms:W3CDTF">2019-04-30T19:57:00Z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